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hAnsi="宋体" w:cs="宋体"/>
          <w:b/>
          <w:bCs/>
          <w:sz w:val="28"/>
          <w:szCs w:val="28"/>
        </w:rPr>
      </w:pPr>
      <w:r>
        <w:rPr>
          <w:rFonts w:hint="eastAsia" w:ascii="宋体" w:hAnsi="宋体" w:cs="宋体"/>
          <w:b/>
          <w:bCs/>
          <w:spacing w:val="20"/>
          <w:sz w:val="28"/>
          <w:szCs w:val="28"/>
        </w:rPr>
        <w:t>Tobii/</w:t>
      </w:r>
      <w:r>
        <w:rPr>
          <w:rFonts w:hint="eastAsia" w:ascii="宋体" w:hAnsi="宋体" w:cs="宋体"/>
          <w:b/>
          <w:bCs/>
          <w:sz w:val="28"/>
          <w:szCs w:val="28"/>
        </w:rPr>
        <w:t>Tobii Pro X3-120</w:t>
      </w:r>
      <w:r>
        <w:rPr>
          <w:rFonts w:hint="eastAsia" w:ascii="宋体" w:hAnsi="宋体" w:cs="宋体"/>
          <w:b/>
          <w:bCs/>
          <w:sz w:val="28"/>
          <w:szCs w:val="28"/>
        </w:rPr>
        <w:t>屏幕遥测式眼动仪</w:t>
      </w:r>
    </w:p>
    <w:p>
      <w:pPr>
        <w:jc w:val="center"/>
        <w:rPr>
          <w:rFonts w:hint="eastAsia" w:ascii="宋体" w:hAnsi="宋体" w:cs="宋体"/>
          <w:b/>
          <w:bCs/>
          <w:sz w:val="28"/>
          <w:szCs w:val="28"/>
        </w:rPr>
      </w:pPr>
    </w:p>
    <w:p>
      <w:pPr>
        <w:keepNext w:val="0"/>
        <w:keepLines w:val="0"/>
        <w:widowControl/>
        <w:numPr>
          <w:numId w:val="0"/>
        </w:numPr>
        <w:suppressLineNumbers w:val="0"/>
        <w:jc w:val="left"/>
      </w:pPr>
      <w:r>
        <w:rPr>
          <w:rFonts w:hint="eastAsia" w:ascii="宋体" w:hAnsi="宋体" w:cs="宋体"/>
          <w:b/>
          <w:i w:val="0"/>
          <w:caps w:val="0"/>
          <w:color w:val="333333"/>
          <w:spacing w:val="0"/>
          <w:kern w:val="0"/>
          <w:sz w:val="24"/>
          <w:szCs w:val="24"/>
          <w:u w:val="none"/>
          <w:shd w:val="clear" w:fill="FFFFFF"/>
          <w:lang w:val="en-US" w:eastAsia="zh-CN" w:bidi="ar"/>
        </w:rPr>
        <w:t>一、设备简介</w:t>
      </w:r>
      <w:r>
        <w:rPr>
          <w:rFonts w:hint="eastAsia" w:ascii="微软雅黑" w:hAnsi="微软雅黑" w:eastAsia="微软雅黑" w:cs="微软雅黑"/>
          <w:i w:val="0"/>
          <w:caps w:val="0"/>
          <w:color w:val="333333"/>
          <w:spacing w:val="0"/>
          <w:kern w:val="0"/>
          <w:sz w:val="21"/>
          <w:szCs w:val="21"/>
          <w:u w:val="none"/>
          <w:bdr w:val="none" w:color="auto" w:sz="0" w:space="0"/>
          <w:shd w:val="clear" w:fill="FFFFFF"/>
          <w:lang w:val="en-US" w:eastAsia="zh-CN" w:bidi="ar"/>
        </w:rPr>
        <w:fldChar w:fldCharType="begin"/>
      </w:r>
      <w:r>
        <w:rPr>
          <w:rFonts w:hint="eastAsia" w:ascii="微软雅黑" w:hAnsi="微软雅黑" w:eastAsia="微软雅黑" w:cs="微软雅黑"/>
          <w:i w:val="0"/>
          <w:caps w:val="0"/>
          <w:color w:val="333333"/>
          <w:spacing w:val="0"/>
          <w:kern w:val="0"/>
          <w:sz w:val="21"/>
          <w:szCs w:val="21"/>
          <w:u w:val="none"/>
          <w:bdr w:val="none" w:color="auto" w:sz="0" w:space="0"/>
          <w:shd w:val="clear" w:fill="FFFFFF"/>
          <w:lang w:val="en-US" w:eastAsia="zh-CN" w:bidi="ar"/>
        </w:rPr>
        <w:instrText xml:space="preserve"> HYPERLINK "http://www.psytech.com.cn/data/attachment/portal/201702/17/145847y6ob5ubo9fl4movy.png" \t "http://www.psytech.com.cn/_blank" </w:instrText>
      </w:r>
      <w:r>
        <w:rPr>
          <w:rFonts w:hint="eastAsia" w:ascii="微软雅黑" w:hAnsi="微软雅黑" w:eastAsia="微软雅黑" w:cs="微软雅黑"/>
          <w:i w:val="0"/>
          <w:caps w:val="0"/>
          <w:color w:val="333333"/>
          <w:spacing w:val="0"/>
          <w:kern w:val="0"/>
          <w:sz w:val="21"/>
          <w:szCs w:val="21"/>
          <w:u w:val="none"/>
          <w:bdr w:val="none" w:color="auto" w:sz="0" w:space="0"/>
          <w:shd w:val="clear" w:fill="FFFFFF"/>
          <w:lang w:val="en-US" w:eastAsia="zh-CN" w:bidi="ar"/>
        </w:rPr>
        <w:fldChar w:fldCharType="separate"/>
      </w:r>
      <w:r>
        <w:rPr>
          <w:rFonts w:hint="eastAsia" w:ascii="微软雅黑" w:hAnsi="微软雅黑" w:eastAsia="微软雅黑" w:cs="微软雅黑"/>
          <w:i w:val="0"/>
          <w:caps w:val="0"/>
          <w:color w:val="333333"/>
          <w:spacing w:val="0"/>
          <w:kern w:val="0"/>
          <w:sz w:val="21"/>
          <w:szCs w:val="21"/>
          <w:u w:val="none"/>
          <w:bdr w:val="none" w:color="auto" w:sz="0" w:space="0"/>
          <w:shd w:val="clear" w:fill="FFFFFF"/>
          <w:lang w:val="en-US" w:eastAsia="zh-CN" w:bidi="ar"/>
        </w:rPr>
        <w:fldChar w:fldCharType="end"/>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20"/>
        <w:jc w:val="both"/>
        <w:rPr>
          <w:i w:val="0"/>
          <w:u w:val="none"/>
        </w:rPr>
      </w:pPr>
      <w:r>
        <w:rPr>
          <w:rFonts w:hint="eastAsia" w:ascii="宋体" w:hAnsi="宋体" w:eastAsia="宋体" w:cs="宋体"/>
          <w:i w:val="0"/>
          <w:caps w:val="0"/>
          <w:color w:val="000000"/>
          <w:spacing w:val="0"/>
          <w:kern w:val="0"/>
          <w:sz w:val="21"/>
          <w:szCs w:val="21"/>
          <w:u w:val="none"/>
          <w:bdr w:val="none" w:color="auto" w:sz="0" w:space="0"/>
          <w:shd w:val="clear" w:fill="FFFFFF"/>
          <w:lang w:val="en-US" w:eastAsia="zh-CN" w:bidi="ar"/>
        </w:rPr>
        <w:t>Tobii Pro X3-120拥有采样率120Hz的屏幕式眼动仪。采用超薄设计且性能强大，可方便地在任何场所开展您的研究。全新的眼动追踪技术使其能够比以往兼容更广泛的被试人群，专为基于注视行为细节的各类研究而设计。</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40" w:lineRule="atLeast"/>
        <w:ind w:left="0" w:right="0"/>
        <w:jc w:val="left"/>
        <w:rPr>
          <w:i w:val="0"/>
          <w:u w:val="none"/>
        </w:rPr>
      </w:pPr>
      <w:r>
        <w:rPr>
          <w:rFonts w:hint="eastAsia" w:ascii="微软雅黑" w:hAnsi="微软雅黑" w:eastAsia="微软雅黑" w:cs="微软雅黑"/>
          <w:i w:val="0"/>
          <w:caps w:val="0"/>
          <w:color w:val="000000"/>
          <w:spacing w:val="0"/>
          <w:kern w:val="0"/>
          <w:sz w:val="24"/>
          <w:szCs w:val="24"/>
          <w:u w:val="none"/>
          <w:bdr w:val="none" w:color="auto" w:sz="0" w:space="0"/>
          <w:shd w:val="clear" w:fill="FFFFFF"/>
          <w:lang w:val="en-US" w:eastAsia="zh-CN" w:bidi="ar"/>
        </w:rPr>
        <w:t> </w:t>
      </w:r>
      <w:r>
        <w:rPr>
          <w:rFonts w:ascii="宋体" w:hAnsi="宋体" w:eastAsia="宋体" w:cs="宋体"/>
          <w:sz w:val="24"/>
          <w:szCs w:val="24"/>
        </w:rPr>
        <w:drawing>
          <wp:inline distT="0" distB="0" distL="114300" distR="114300">
            <wp:extent cx="4975225" cy="1367790"/>
            <wp:effectExtent l="0" t="0" r="15875" b="3810"/>
            <wp:docPr id="53"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6" descr="IMG_256"/>
                    <pic:cNvPicPr>
                      <a:picLocks noChangeAspect="1"/>
                    </pic:cNvPicPr>
                  </pic:nvPicPr>
                  <pic:blipFill>
                    <a:blip r:embed="rId4"/>
                    <a:stretch>
                      <a:fillRect/>
                    </a:stretch>
                  </pic:blipFill>
                  <pic:spPr>
                    <a:xfrm>
                      <a:off x="0" y="0"/>
                      <a:ext cx="4975225" cy="136779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20"/>
        <w:jc w:val="left"/>
        <w:rPr>
          <w:rFonts w:hint="eastAsia" w:ascii="宋体" w:hAnsi="宋体" w:eastAsia="宋体" w:cs="宋体"/>
          <w:i w:val="0"/>
          <w:caps w:val="0"/>
          <w:color w:val="000000"/>
          <w:spacing w:val="0"/>
          <w:kern w:val="0"/>
          <w:sz w:val="21"/>
          <w:szCs w:val="21"/>
          <w:u w:val="none"/>
          <w:bdr w:val="none" w:color="auto" w:sz="0" w:space="0"/>
          <w:shd w:val="clear" w:fill="FFFFFF"/>
          <w:lang w:val="en-US" w:eastAsia="zh-CN" w:bidi="ar"/>
        </w:rPr>
      </w:pPr>
      <w:r>
        <w:rPr>
          <w:rFonts w:hint="eastAsia" w:ascii="宋体" w:hAnsi="宋体" w:eastAsia="宋体" w:cs="宋体"/>
          <w:i w:val="0"/>
          <w:caps w:val="0"/>
          <w:color w:val="000000"/>
          <w:spacing w:val="0"/>
          <w:kern w:val="0"/>
          <w:sz w:val="21"/>
          <w:szCs w:val="21"/>
          <w:u w:val="none"/>
          <w:bdr w:val="none" w:color="auto" w:sz="0" w:space="0"/>
          <w:shd w:val="clear" w:fill="FFFFFF"/>
          <w:lang w:val="en-US" w:eastAsia="zh-CN" w:bidi="ar"/>
        </w:rPr>
        <w:t>Tobii Pro X3-120产品灵活性高，可应用于广泛的人类行为研究中。眼动仪采用了超薄、超轻的便携式设计，可方便地应用到各类研究场合。</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20"/>
        <w:jc w:val="left"/>
        <w:rPr>
          <w:rFonts w:hint="eastAsia" w:ascii="宋体" w:hAnsi="宋体" w:eastAsia="宋体" w:cs="宋体"/>
          <w:i w:val="0"/>
          <w:caps w:val="0"/>
          <w:color w:val="000000"/>
          <w:spacing w:val="0"/>
          <w:kern w:val="0"/>
          <w:sz w:val="21"/>
          <w:szCs w:val="21"/>
          <w:u w:val="none"/>
          <w:shd w:val="clear" w:fill="FFFFFF"/>
          <w:lang w:val="en-US" w:eastAsia="zh-CN" w:bidi="ar"/>
        </w:rPr>
      </w:pPr>
      <w:r>
        <w:rPr>
          <w:rFonts w:hint="eastAsia" w:ascii="宋体" w:hAnsi="宋体" w:eastAsia="宋体" w:cs="宋体"/>
          <w:i w:val="0"/>
          <w:caps w:val="0"/>
          <w:color w:val="000000"/>
          <w:spacing w:val="0"/>
          <w:kern w:val="0"/>
          <w:sz w:val="21"/>
          <w:szCs w:val="21"/>
          <w:u w:val="none"/>
          <w:shd w:val="clear" w:fill="FFFFFF"/>
          <w:lang w:val="en-US" w:eastAsia="zh-CN" w:bidi="ar"/>
        </w:rPr>
        <w:t>Tobii Pro X3-120眼动仪拥有比以往更强大的兼容性，可适应更广泛的被试人群，而它严谨的外观设计极大程度上确保了无干扰的数据采集。</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20"/>
        <w:jc w:val="left"/>
        <w:rPr>
          <w:rFonts w:hint="eastAsia" w:ascii="宋体" w:hAnsi="宋体" w:eastAsia="宋体" w:cs="宋体"/>
          <w:i w:val="0"/>
          <w:caps w:val="0"/>
          <w:color w:val="000000"/>
          <w:spacing w:val="0"/>
          <w:kern w:val="0"/>
          <w:sz w:val="21"/>
          <w:szCs w:val="21"/>
          <w:u w:val="none"/>
          <w:shd w:val="clear" w:fill="FFFFFF"/>
          <w:lang w:val="en-US" w:eastAsia="zh-CN" w:bidi="ar"/>
        </w:rPr>
      </w:pPr>
      <w:r>
        <w:rPr>
          <w:rFonts w:hint="eastAsia" w:ascii="宋体" w:hAnsi="宋体" w:eastAsia="宋体" w:cs="宋体"/>
          <w:i w:val="0"/>
          <w:caps w:val="0"/>
          <w:color w:val="000000"/>
          <w:spacing w:val="0"/>
          <w:kern w:val="0"/>
          <w:sz w:val="21"/>
          <w:szCs w:val="21"/>
          <w:u w:val="none"/>
          <w:shd w:val="clear" w:fill="FFFFFF"/>
          <w:lang w:val="en-US" w:eastAsia="zh-CN" w:bidi="ar"/>
        </w:rPr>
        <w:t>这款</w:t>
      </w:r>
      <w:r>
        <w:rPr>
          <w:rFonts w:hint="eastAsia" w:ascii="宋体" w:hAnsi="宋体" w:eastAsia="宋体" w:cs="宋体"/>
          <w:b/>
          <w:bCs/>
          <w:i w:val="0"/>
          <w:caps w:val="0"/>
          <w:color w:val="000000"/>
          <w:spacing w:val="0"/>
          <w:kern w:val="0"/>
          <w:sz w:val="21"/>
          <w:szCs w:val="21"/>
          <w:u w:val="none"/>
          <w:shd w:val="clear" w:fill="FFFFFF"/>
          <w:lang w:val="en-US" w:eastAsia="zh-CN" w:bidi="ar"/>
        </w:rPr>
        <w:t>屏幕式眼动仪</w:t>
      </w:r>
      <w:r>
        <w:rPr>
          <w:rFonts w:hint="eastAsia" w:ascii="宋体" w:hAnsi="宋体" w:eastAsia="宋体" w:cs="宋体"/>
          <w:i w:val="0"/>
          <w:caps w:val="0"/>
          <w:color w:val="000000"/>
          <w:spacing w:val="0"/>
          <w:kern w:val="0"/>
          <w:sz w:val="21"/>
          <w:szCs w:val="21"/>
          <w:u w:val="none"/>
          <w:shd w:val="clear" w:fill="FFFFFF"/>
          <w:lang w:val="en-US" w:eastAsia="zh-CN" w:bidi="ar"/>
        </w:rPr>
        <w:t>可准确记录人们的视线位置，拥有120Hz采样率，专为各类需要考察时效和注视时间的研究而设计。</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20"/>
        <w:jc w:val="left"/>
        <w:rPr>
          <w:rFonts w:hint="eastAsia" w:ascii="宋体" w:hAnsi="宋体" w:eastAsia="宋体" w:cs="宋体"/>
          <w:i w:val="0"/>
          <w:caps w:val="0"/>
          <w:color w:val="000000"/>
          <w:spacing w:val="0"/>
          <w:kern w:val="0"/>
          <w:sz w:val="21"/>
          <w:szCs w:val="21"/>
          <w:u w:val="none"/>
          <w:shd w:val="clear" w:fill="FFFFFF"/>
          <w:lang w:val="en-US" w:eastAsia="zh-CN" w:bidi="ar"/>
        </w:rPr>
      </w:pPr>
      <w:r>
        <w:rPr>
          <w:rFonts w:hint="eastAsia" w:ascii="宋体" w:hAnsi="宋体" w:eastAsia="宋体" w:cs="宋体"/>
          <w:i w:val="0"/>
          <w:caps w:val="0"/>
          <w:color w:val="000000"/>
          <w:spacing w:val="0"/>
          <w:kern w:val="0"/>
          <w:sz w:val="21"/>
          <w:szCs w:val="21"/>
          <w:u w:val="none"/>
          <w:shd w:val="clear" w:fill="FFFFFF"/>
          <w:lang w:val="en-US" w:eastAsia="zh-CN" w:bidi="ar"/>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i w:val="0"/>
          <w:u w:val="none"/>
        </w:rPr>
      </w:pPr>
      <w:r>
        <w:rPr>
          <w:rFonts w:hint="eastAsia" w:ascii="宋体" w:hAnsi="宋体" w:eastAsia="宋体" w:cs="宋体"/>
          <w:i w:val="0"/>
          <w:caps w:val="0"/>
          <w:color w:val="333333"/>
          <w:spacing w:val="0"/>
          <w:sz w:val="24"/>
          <w:szCs w:val="24"/>
          <w:u w:val="none"/>
          <w:bdr w:val="none" w:color="auto" w:sz="0" w:space="0"/>
          <w:shd w:val="clear" w:fill="FFFFFF"/>
        </w:rPr>
        <w:drawing>
          <wp:inline distT="0" distB="0" distL="114300" distR="114300">
            <wp:extent cx="3345180" cy="1672590"/>
            <wp:effectExtent l="0" t="0" r="7620" b="3810"/>
            <wp:docPr id="47" name="图片 2" descr="IMG_25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 descr="IMG_257"/>
                    <pic:cNvPicPr>
                      <a:picLocks noChangeAspect="1"/>
                    </pic:cNvPicPr>
                  </pic:nvPicPr>
                  <pic:blipFill>
                    <a:blip r:embed="rId6"/>
                    <a:stretch>
                      <a:fillRect/>
                    </a:stretch>
                  </pic:blipFill>
                  <pic:spPr>
                    <a:xfrm>
                      <a:off x="0" y="0"/>
                      <a:ext cx="3345180" cy="167259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rPr>
          <w:i w:val="0"/>
          <w:u w:val="none"/>
        </w:rPr>
      </w:pPr>
      <w:r>
        <w:rPr>
          <w:rFonts w:hint="eastAsia" w:ascii="宋体" w:hAnsi="宋体" w:eastAsia="宋体" w:cs="宋体"/>
          <w:i w:val="0"/>
          <w:caps w:val="0"/>
          <w:color w:val="000000"/>
          <w:spacing w:val="0"/>
          <w:sz w:val="24"/>
          <w:szCs w:val="24"/>
          <w:u w:val="none"/>
          <w:bdr w:val="none" w:color="auto" w:sz="0" w:space="0"/>
          <w:shd w:val="clear" w:fill="FFFFFF"/>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20"/>
        <w:jc w:val="both"/>
        <w:rPr>
          <w:i w:val="0"/>
          <w:u w:val="none"/>
        </w:rPr>
      </w:pPr>
      <w:r>
        <w:rPr>
          <w:rFonts w:hint="eastAsia" w:ascii="宋体" w:hAnsi="宋体" w:eastAsia="宋体" w:cs="宋体"/>
          <w:i w:val="0"/>
          <w:caps w:val="0"/>
          <w:color w:val="000000"/>
          <w:spacing w:val="0"/>
          <w:kern w:val="0"/>
          <w:sz w:val="21"/>
          <w:szCs w:val="21"/>
          <w:u w:val="none"/>
          <w:bdr w:val="none" w:color="auto" w:sz="0" w:space="0"/>
          <w:shd w:val="clear" w:fill="FFFFFF"/>
          <w:lang w:val="en-US" w:eastAsia="zh-CN" w:bidi="ar"/>
        </w:rPr>
        <w:t>Tobii Pro X3-120眼动仪兼容多种屏幕，如笔记本电脑，台式机显示屏，平板电脑或电视等。</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20"/>
        <w:jc w:val="both"/>
        <w:rPr>
          <w:i w:val="0"/>
          <w:u w:val="none"/>
        </w:rPr>
      </w:pPr>
      <w:r>
        <w:rPr>
          <w:rFonts w:hint="eastAsia" w:ascii="宋体" w:hAnsi="宋体" w:eastAsia="宋体" w:cs="宋体"/>
          <w:i w:val="0"/>
          <w:caps w:val="0"/>
          <w:color w:val="000000"/>
          <w:spacing w:val="0"/>
          <w:kern w:val="0"/>
          <w:sz w:val="21"/>
          <w:szCs w:val="21"/>
          <w:u w:val="none"/>
          <w:bdr w:val="none" w:color="auto" w:sz="0" w:space="0"/>
          <w:shd w:val="clear" w:fill="FFFFFF"/>
          <w:lang w:val="en-US" w:eastAsia="zh-CN" w:bidi="ar"/>
        </w:rPr>
        <w:t>眼动仪可直接安装在25英寸以内的显示器下方。我们还为移动端设备提供了专用的移动设备测试支架，使移动端设备的眼动研究更方便。Tobii Pro X3-120可提供大视角下的高质量眼动数据，因此您也可以使用尺寸更大的投影屏幕开展您的研究。</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20"/>
        <w:jc w:val="both"/>
        <w:rPr>
          <w:i w:val="0"/>
          <w:u w:val="none"/>
        </w:rPr>
      </w:pPr>
      <w:r>
        <w:rPr>
          <w:rFonts w:hint="eastAsia" w:ascii="宋体" w:hAnsi="宋体" w:eastAsia="宋体" w:cs="宋体"/>
          <w:i w:val="0"/>
          <w:caps w:val="0"/>
          <w:color w:val="000000"/>
          <w:spacing w:val="0"/>
          <w:kern w:val="0"/>
          <w:sz w:val="21"/>
          <w:szCs w:val="21"/>
          <w:u w:val="none"/>
          <w:bdr w:val="none" w:color="auto" w:sz="0" w:space="0"/>
          <w:shd w:val="clear" w:fill="FFFFFF"/>
          <w:lang w:val="en-US" w:eastAsia="zh-CN" w:bidi="ar"/>
        </w:rPr>
        <w:t>还提供专用的附件，使眼动仪能够应用于真实世界刺激物，如实际物体或场景。</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jc w:val="center"/>
        <w:rPr>
          <w:i w:val="0"/>
          <w:u w:val="none"/>
        </w:rPr>
      </w:pPr>
      <w:r>
        <w:rPr>
          <w:rFonts w:hint="eastAsia" w:ascii="宋体" w:hAnsi="宋体" w:eastAsia="宋体" w:cs="宋体"/>
          <w:i w:val="0"/>
          <w:caps w:val="0"/>
          <w:color w:val="333333"/>
          <w:spacing w:val="0"/>
          <w:sz w:val="24"/>
          <w:szCs w:val="24"/>
          <w:u w:val="none"/>
          <w:shd w:val="clear" w:fill="FFFFFF"/>
        </w:rPr>
        <w:drawing>
          <wp:inline distT="0" distB="0" distL="114300" distR="114300">
            <wp:extent cx="4117975" cy="2059305"/>
            <wp:effectExtent l="0" t="0" r="15875" b="17145"/>
            <wp:docPr id="50" name="图片 3" descr="IMG_258">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3" descr="IMG_258"/>
                    <pic:cNvPicPr>
                      <a:picLocks noChangeAspect="1"/>
                    </pic:cNvPicPr>
                  </pic:nvPicPr>
                  <pic:blipFill>
                    <a:blip r:embed="rId8"/>
                    <a:stretch>
                      <a:fillRect/>
                    </a:stretch>
                  </pic:blipFill>
                  <pic:spPr>
                    <a:xfrm>
                      <a:off x="0" y="0"/>
                      <a:ext cx="4117975" cy="205930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i w:val="0"/>
          <w:u w:val="none"/>
        </w:rPr>
      </w:pPr>
      <w:r>
        <w:rPr>
          <w:rFonts w:hint="eastAsia" w:ascii="宋体" w:hAnsi="宋体" w:eastAsia="宋体" w:cs="宋体"/>
          <w:i w:val="0"/>
          <w:caps w:val="0"/>
          <w:color w:val="000000"/>
          <w:spacing w:val="0"/>
          <w:kern w:val="0"/>
          <w:sz w:val="24"/>
          <w:szCs w:val="24"/>
          <w:u w:val="none"/>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20"/>
        <w:jc w:val="both"/>
        <w:rPr>
          <w:rFonts w:hint="eastAsia" w:ascii="宋体" w:hAnsi="宋体" w:eastAsia="宋体" w:cs="宋体"/>
          <w:i w:val="0"/>
          <w:caps w:val="0"/>
          <w:color w:val="000000"/>
          <w:spacing w:val="0"/>
          <w:kern w:val="0"/>
          <w:sz w:val="21"/>
          <w:szCs w:val="21"/>
          <w:u w:val="none"/>
          <w:bdr w:val="none" w:color="auto" w:sz="0" w:space="0"/>
          <w:shd w:val="clear" w:fill="FFFFFF"/>
          <w:lang w:val="en-US" w:eastAsia="zh-CN" w:bidi="ar"/>
        </w:rPr>
      </w:pPr>
      <w:r>
        <w:rPr>
          <w:rFonts w:hint="eastAsia" w:ascii="宋体" w:hAnsi="宋体" w:eastAsia="宋体" w:cs="宋体"/>
          <w:i w:val="0"/>
          <w:caps w:val="0"/>
          <w:color w:val="000000"/>
          <w:spacing w:val="0"/>
          <w:kern w:val="0"/>
          <w:sz w:val="21"/>
          <w:szCs w:val="21"/>
          <w:u w:val="none"/>
          <w:bdr w:val="none" w:color="auto" w:sz="0" w:space="0"/>
          <w:shd w:val="clear" w:fill="FFFFFF"/>
          <w:lang w:val="en-US" w:eastAsia="zh-CN" w:bidi="ar"/>
        </w:rPr>
        <w:t>Tobii Pro X3-120眼动仪安装设置简单，数据自动化采集，提升了眼动追踪研究的效率。</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jc w:val="left"/>
        <w:rPr>
          <w:i w:val="0"/>
          <w:u w:val="none"/>
        </w:rPr>
      </w:pPr>
      <w:r>
        <w:rPr>
          <w:rFonts w:hint="eastAsia" w:ascii="宋体" w:hAnsi="宋体" w:eastAsia="宋体" w:cs="宋体"/>
          <w:i w:val="0"/>
          <w:caps w:val="0"/>
          <w:color w:val="000000"/>
          <w:spacing w:val="0"/>
          <w:kern w:val="0"/>
          <w:sz w:val="21"/>
          <w:szCs w:val="21"/>
          <w:u w:val="none"/>
          <w:bdr w:val="none" w:color="auto" w:sz="0" w:space="0"/>
          <w:shd w:val="clear" w:fill="FFFFFF"/>
          <w:lang w:val="en-US" w:eastAsia="zh-CN" w:bidi="ar"/>
        </w:rPr>
        <w:t>● </w:t>
      </w:r>
      <w:r>
        <w:rPr>
          <w:rFonts w:hint="eastAsia" w:ascii="宋体" w:hAnsi="宋体" w:eastAsia="宋体" w:cs="宋体"/>
          <w:b/>
          <w:bCs/>
          <w:i w:val="0"/>
          <w:caps w:val="0"/>
          <w:color w:val="000000"/>
          <w:spacing w:val="0"/>
          <w:kern w:val="0"/>
          <w:sz w:val="21"/>
          <w:szCs w:val="21"/>
          <w:u w:val="none"/>
          <w:bdr w:val="none" w:color="auto" w:sz="0" w:space="0"/>
          <w:shd w:val="clear" w:fill="FFFFFF"/>
          <w:lang w:val="en-US" w:eastAsia="zh-CN" w:bidi="ar"/>
        </w:rPr>
        <w:t>可直接与多种类型的屏幕结合</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jc w:val="left"/>
        <w:rPr>
          <w:i w:val="0"/>
          <w:u w:val="none"/>
        </w:rPr>
      </w:pPr>
      <w:r>
        <w:rPr>
          <w:rFonts w:hint="eastAsia" w:ascii="宋体" w:hAnsi="宋体" w:eastAsia="宋体" w:cs="宋体"/>
          <w:i w:val="0"/>
          <w:caps w:val="0"/>
          <w:color w:val="000000"/>
          <w:spacing w:val="0"/>
          <w:kern w:val="0"/>
          <w:sz w:val="21"/>
          <w:szCs w:val="21"/>
          <w:u w:val="none"/>
          <w:bdr w:val="none" w:color="auto" w:sz="0" w:space="0"/>
          <w:shd w:val="clear" w:fill="FFFFFF"/>
          <w:lang w:val="en-US" w:eastAsia="zh-CN" w:bidi="ar"/>
        </w:rPr>
        <w:t>● 使用外置数据处理模块可使眼动仪在受控的环境下运行，也可以将眼动仪直接通过USB连接到计算机 (使用 USB 3.0 连接线)</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jc w:val="left"/>
        <w:rPr>
          <w:i w:val="0"/>
          <w:u w:val="none"/>
        </w:rPr>
      </w:pPr>
      <w:r>
        <w:rPr>
          <w:rFonts w:hint="eastAsia" w:ascii="宋体" w:hAnsi="宋体" w:eastAsia="宋体" w:cs="宋体"/>
          <w:i w:val="0"/>
          <w:caps w:val="0"/>
          <w:color w:val="000000"/>
          <w:spacing w:val="0"/>
          <w:kern w:val="0"/>
          <w:sz w:val="21"/>
          <w:szCs w:val="21"/>
          <w:u w:val="none"/>
          <w:bdr w:val="none" w:color="auto" w:sz="0" w:space="0"/>
          <w:shd w:val="clear" w:fill="FFFFFF"/>
          <w:lang w:val="en-US" w:eastAsia="zh-CN" w:bidi="ar"/>
        </w:rPr>
        <w:t>● 可在Windows 7/8.1系统下轻松设置眼动仪</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jc w:val="left"/>
        <w:rPr>
          <w:i w:val="0"/>
          <w:u w:val="none"/>
        </w:rPr>
      </w:pPr>
      <w:r>
        <w:rPr>
          <w:rFonts w:hint="eastAsia" w:ascii="宋体" w:hAnsi="宋体" w:eastAsia="宋体" w:cs="宋体"/>
          <w:i w:val="0"/>
          <w:caps w:val="0"/>
          <w:color w:val="000000"/>
          <w:spacing w:val="0"/>
          <w:kern w:val="0"/>
          <w:sz w:val="21"/>
          <w:szCs w:val="21"/>
          <w:u w:val="none"/>
          <w:bdr w:val="none" w:color="auto" w:sz="0" w:space="0"/>
          <w:shd w:val="clear" w:fill="FFFFFF"/>
          <w:lang w:val="en-US" w:eastAsia="zh-CN" w:bidi="ar"/>
        </w:rPr>
        <w:t>● 使用外置数据处理模块可支持Mac OS X和Linux系统</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jc w:val="left"/>
        <w:rPr>
          <w:rFonts w:hint="eastAsia" w:ascii="宋体" w:hAnsi="宋体" w:eastAsia="宋体" w:cs="宋体"/>
          <w:i w:val="0"/>
          <w:caps w:val="0"/>
          <w:color w:val="000000"/>
          <w:spacing w:val="0"/>
          <w:kern w:val="0"/>
          <w:sz w:val="21"/>
          <w:szCs w:val="21"/>
          <w:u w:val="none"/>
          <w:bdr w:val="none" w:color="auto" w:sz="0" w:space="0"/>
          <w:shd w:val="clear" w:fill="FFFFFF"/>
          <w:lang w:val="en-US" w:eastAsia="zh-CN" w:bidi="ar"/>
        </w:rPr>
      </w:pPr>
      <w:r>
        <w:rPr>
          <w:rFonts w:hint="eastAsia" w:ascii="宋体" w:hAnsi="宋体" w:eastAsia="宋体" w:cs="宋体"/>
          <w:i w:val="0"/>
          <w:caps w:val="0"/>
          <w:color w:val="000000"/>
          <w:spacing w:val="0"/>
          <w:kern w:val="0"/>
          <w:sz w:val="21"/>
          <w:szCs w:val="21"/>
          <w:u w:val="none"/>
          <w:bdr w:val="none" w:color="auto" w:sz="0" w:space="0"/>
          <w:shd w:val="clear" w:fill="FFFFFF"/>
          <w:lang w:val="en-US" w:eastAsia="zh-CN" w:bidi="ar"/>
        </w:rPr>
        <w:t>● 全自动被试校准流程，迅速高效</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jc w:val="left"/>
        <w:rPr>
          <w:rFonts w:hint="eastAsia" w:ascii="宋体" w:hAnsi="宋体" w:eastAsia="宋体" w:cs="宋体"/>
          <w:i w:val="0"/>
          <w:caps w:val="0"/>
          <w:color w:val="000000"/>
          <w:spacing w:val="0"/>
          <w:kern w:val="0"/>
          <w:sz w:val="21"/>
          <w:szCs w:val="21"/>
          <w:u w:val="none"/>
          <w:bdr w:val="none" w:color="auto" w:sz="0" w:space="0"/>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i w:val="0"/>
          <w:u w:val="none"/>
        </w:rPr>
      </w:pPr>
      <w:r>
        <w:rPr>
          <w:rFonts w:hint="eastAsia" w:ascii="宋体" w:hAnsi="宋体" w:eastAsia="宋体" w:cs="宋体"/>
          <w:i w:val="0"/>
          <w:caps w:val="0"/>
          <w:color w:val="000000"/>
          <w:spacing w:val="0"/>
          <w:kern w:val="0"/>
          <w:sz w:val="24"/>
          <w:szCs w:val="24"/>
          <w:u w:val="none"/>
          <w:bdr w:val="none" w:color="auto" w:sz="0" w:space="0"/>
          <w:shd w:val="clear" w:fill="FFFFFF"/>
          <w:lang w:val="en-US" w:eastAsia="zh-CN" w:bidi="ar"/>
        </w:rPr>
        <w:t> </w:t>
      </w:r>
      <w:r>
        <w:rPr>
          <w:rFonts w:hint="eastAsia" w:ascii="宋体" w:hAnsi="宋体" w:eastAsia="宋体" w:cs="宋体"/>
          <w:i w:val="0"/>
          <w:caps w:val="0"/>
          <w:color w:val="333333"/>
          <w:spacing w:val="0"/>
          <w:u w:val="none"/>
          <w:shd w:val="clear" w:fill="FFFFFF"/>
        </w:rPr>
        <w:drawing>
          <wp:inline distT="0" distB="0" distL="114300" distR="114300">
            <wp:extent cx="3691255" cy="1792605"/>
            <wp:effectExtent l="0" t="0" r="4445" b="17145"/>
            <wp:docPr id="52" name="图片 4" descr="IMG_259">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4" descr="IMG_259"/>
                    <pic:cNvPicPr>
                      <a:picLocks noChangeAspect="1"/>
                    </pic:cNvPicPr>
                  </pic:nvPicPr>
                  <pic:blipFill>
                    <a:blip r:embed="rId10"/>
                    <a:stretch>
                      <a:fillRect/>
                    </a:stretch>
                  </pic:blipFill>
                  <pic:spPr>
                    <a:xfrm>
                      <a:off x="0" y="0"/>
                      <a:ext cx="3691255" cy="179260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20"/>
        <w:jc w:val="both"/>
        <w:rPr>
          <w:rFonts w:hint="eastAsia" w:ascii="宋体" w:hAnsi="宋体" w:eastAsia="宋体" w:cs="宋体"/>
          <w:i w:val="0"/>
          <w:caps w:val="0"/>
          <w:color w:val="000000"/>
          <w:spacing w:val="0"/>
          <w:kern w:val="0"/>
          <w:sz w:val="21"/>
          <w:szCs w:val="21"/>
          <w:u w:val="none"/>
          <w:bdr w:val="none" w:color="auto" w:sz="0" w:space="0"/>
          <w:shd w:val="clear" w:fill="FFFFFF"/>
          <w:lang w:val="en-US" w:eastAsia="zh-CN" w:bidi="ar"/>
        </w:rPr>
      </w:pPr>
      <w:r>
        <w:rPr>
          <w:rFonts w:hint="eastAsia" w:ascii="宋体" w:hAnsi="宋体" w:eastAsia="宋体" w:cs="宋体"/>
          <w:i w:val="0"/>
          <w:caps w:val="0"/>
          <w:color w:val="000000"/>
          <w:spacing w:val="0"/>
          <w:kern w:val="0"/>
          <w:sz w:val="21"/>
          <w:szCs w:val="21"/>
          <w:u w:val="none"/>
          <w:bdr w:val="none" w:color="auto" w:sz="0" w:space="0"/>
          <w:shd w:val="clear" w:fill="FFFFFF"/>
          <w:lang w:val="en-US" w:eastAsia="zh-CN" w:bidi="ar"/>
        </w:rPr>
        <w:t>被试者可坐在距屏幕合适的距离进行数据采集，并可以自由移动头部，眼动仪很难被他们所察觉。这些特征创建了一种无干扰的测试环境，有利于采集人们的自然行为。</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jc w:val="left"/>
        <w:rPr>
          <w:i w:val="0"/>
          <w:u w:val="none"/>
        </w:rPr>
      </w:pPr>
      <w:r>
        <w:rPr>
          <w:rFonts w:hint="eastAsia" w:ascii="宋体" w:hAnsi="宋体" w:eastAsia="宋体" w:cs="宋体"/>
          <w:i w:val="0"/>
          <w:caps w:val="0"/>
          <w:color w:val="000000"/>
          <w:spacing w:val="0"/>
          <w:kern w:val="0"/>
          <w:sz w:val="21"/>
          <w:szCs w:val="21"/>
          <w:u w:val="none"/>
          <w:bdr w:val="none" w:color="auto" w:sz="0" w:space="0"/>
          <w:shd w:val="clear" w:fill="FFFFFF"/>
          <w:lang w:val="en-US" w:eastAsia="zh-CN" w:bidi="ar"/>
        </w:rPr>
        <w:t>● 允许大范围头动，数据不受影响</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jc w:val="left"/>
        <w:rPr>
          <w:i w:val="0"/>
          <w:u w:val="none"/>
        </w:rPr>
      </w:pPr>
      <w:r>
        <w:rPr>
          <w:rFonts w:hint="eastAsia" w:ascii="宋体" w:hAnsi="宋体" w:eastAsia="宋体" w:cs="宋体"/>
          <w:i w:val="0"/>
          <w:caps w:val="0"/>
          <w:color w:val="000000"/>
          <w:spacing w:val="0"/>
          <w:kern w:val="0"/>
          <w:sz w:val="21"/>
          <w:szCs w:val="21"/>
          <w:u w:val="none"/>
          <w:bdr w:val="none" w:color="auto" w:sz="0" w:space="0"/>
          <w:shd w:val="clear" w:fill="FFFFFF"/>
          <w:lang w:val="en-US" w:eastAsia="zh-CN" w:bidi="ar"/>
        </w:rPr>
        <w:t>● 数据准确度不受距离影响，如使用笔记本电脑屏幕（较近）或使用ATM机等实物（较远）</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jc w:val="left"/>
        <w:rPr>
          <w:i w:val="0"/>
          <w:u w:val="none"/>
        </w:rPr>
      </w:pPr>
      <w:r>
        <w:rPr>
          <w:rFonts w:hint="eastAsia" w:ascii="宋体" w:hAnsi="宋体" w:eastAsia="宋体" w:cs="宋体"/>
          <w:i w:val="0"/>
          <w:caps w:val="0"/>
          <w:color w:val="000000"/>
          <w:spacing w:val="0"/>
          <w:kern w:val="0"/>
          <w:sz w:val="21"/>
          <w:szCs w:val="21"/>
          <w:u w:val="none"/>
          <w:bdr w:val="none" w:color="auto" w:sz="0" w:space="0"/>
          <w:shd w:val="clear" w:fill="FFFFFF"/>
          <w:lang w:val="en-US" w:eastAsia="zh-CN" w:bidi="ar"/>
        </w:rPr>
        <w:t>● 严谨、便携的设计使其完美融入测试环境中</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jc w:val="left"/>
        <w:rPr>
          <w:i w:val="0"/>
          <w:u w:val="none"/>
        </w:rPr>
      </w:pPr>
      <w:r>
        <w:rPr>
          <w:rFonts w:hint="eastAsia" w:ascii="宋体" w:hAnsi="宋体" w:eastAsia="宋体" w:cs="宋体"/>
          <w:i w:val="0"/>
          <w:caps w:val="0"/>
          <w:color w:val="000000"/>
          <w:spacing w:val="0"/>
          <w:kern w:val="0"/>
          <w:sz w:val="21"/>
          <w:szCs w:val="21"/>
          <w:u w:val="none"/>
          <w:bdr w:val="none" w:color="auto" w:sz="0" w:space="0"/>
          <w:shd w:val="clear" w:fill="FFFFFF"/>
          <w:lang w:val="en-US" w:eastAsia="zh-CN" w:bidi="ar"/>
        </w:rPr>
        <w:t>● 校准稳定、可靠，减少了重新校准的可能性</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jc w:val="left"/>
        <w:rPr>
          <w:i w:val="0"/>
          <w:u w:val="none"/>
        </w:rPr>
      </w:pPr>
      <w:r>
        <w:rPr>
          <w:rFonts w:hint="eastAsia" w:ascii="宋体" w:hAnsi="宋体" w:eastAsia="宋体" w:cs="宋体"/>
          <w:i w:val="0"/>
          <w:caps w:val="0"/>
          <w:color w:val="000000"/>
          <w:spacing w:val="0"/>
          <w:kern w:val="0"/>
          <w:sz w:val="24"/>
          <w:szCs w:val="24"/>
          <w:u w:val="none"/>
          <w:bdr w:val="none" w:color="auto" w:sz="0" w:space="0"/>
          <w:shd w:val="clear" w:fill="FFFFFF"/>
          <w:lang w:val="en-US" w:eastAsia="zh-CN" w:bidi="ar"/>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i w:val="0"/>
          <w:u w:val="none"/>
        </w:rPr>
      </w:pPr>
      <w:r>
        <w:rPr>
          <w:rFonts w:hint="eastAsia" w:ascii="宋体" w:hAnsi="宋体" w:eastAsia="宋体" w:cs="宋体"/>
          <w:b/>
          <w:i w:val="0"/>
          <w:caps w:val="0"/>
          <w:color w:val="333333"/>
          <w:spacing w:val="0"/>
          <w:sz w:val="24"/>
          <w:szCs w:val="24"/>
          <w:u w:val="none"/>
          <w:bdr w:val="none" w:color="auto" w:sz="0" w:space="0"/>
          <w:shd w:val="clear" w:fill="FFFFFF"/>
        </w:rPr>
        <w:drawing>
          <wp:inline distT="0" distB="0" distL="114300" distR="114300">
            <wp:extent cx="3679825" cy="1926590"/>
            <wp:effectExtent l="0" t="0" r="15875" b="16510"/>
            <wp:docPr id="48" name="图片 5" descr="IMG_260">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5" descr="IMG_260"/>
                    <pic:cNvPicPr>
                      <a:picLocks noChangeAspect="1"/>
                    </pic:cNvPicPr>
                  </pic:nvPicPr>
                  <pic:blipFill>
                    <a:blip r:embed="rId12"/>
                    <a:stretch>
                      <a:fillRect/>
                    </a:stretch>
                  </pic:blipFill>
                  <pic:spPr>
                    <a:xfrm>
                      <a:off x="0" y="0"/>
                      <a:ext cx="3679825" cy="192659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20"/>
        <w:jc w:val="both"/>
        <w:rPr>
          <w:rFonts w:hint="eastAsia" w:ascii="宋体" w:hAnsi="宋体" w:eastAsia="宋体" w:cs="宋体"/>
          <w:i w:val="0"/>
          <w:caps w:val="0"/>
          <w:color w:val="000000"/>
          <w:spacing w:val="0"/>
          <w:kern w:val="0"/>
          <w:sz w:val="21"/>
          <w:szCs w:val="21"/>
          <w:u w:val="none"/>
          <w:bdr w:val="none" w:color="auto" w:sz="0" w:space="0"/>
          <w:shd w:val="clear" w:fill="FFFFFF"/>
          <w:lang w:val="en-US" w:eastAsia="zh-CN" w:bidi="ar"/>
        </w:rPr>
      </w:pPr>
      <w:r>
        <w:rPr>
          <w:rFonts w:hint="eastAsia" w:ascii="宋体" w:hAnsi="宋体" w:eastAsia="宋体" w:cs="宋体"/>
          <w:i w:val="0"/>
          <w:caps w:val="0"/>
          <w:color w:val="000000"/>
          <w:spacing w:val="0"/>
          <w:kern w:val="0"/>
          <w:sz w:val="21"/>
          <w:szCs w:val="21"/>
          <w:u w:val="none"/>
          <w:bdr w:val="none" w:color="auto" w:sz="0" w:space="0"/>
          <w:shd w:val="clear" w:fill="FFFFFF"/>
          <w:lang w:val="en-US" w:eastAsia="zh-CN" w:bidi="ar"/>
        </w:rPr>
        <w:t>眼动仪极高的数据准确度和在真实测试环境中稳定的追踪能力使其能够采集到广泛被试人群的高质量数据。</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jc w:val="left"/>
        <w:rPr>
          <w:i w:val="0"/>
          <w:u w:val="none"/>
        </w:rPr>
      </w:pPr>
      <w:r>
        <w:rPr>
          <w:rFonts w:hint="eastAsia" w:ascii="宋体" w:hAnsi="宋体" w:eastAsia="宋体" w:cs="宋体"/>
          <w:i w:val="0"/>
          <w:caps w:val="0"/>
          <w:color w:val="000000"/>
          <w:spacing w:val="0"/>
          <w:kern w:val="0"/>
          <w:sz w:val="21"/>
          <w:szCs w:val="21"/>
          <w:u w:val="none"/>
          <w:bdr w:val="none" w:color="auto" w:sz="0" w:space="0"/>
          <w:shd w:val="clear" w:fill="FFFFFF"/>
          <w:lang w:val="en-US" w:eastAsia="zh-CN" w:bidi="ar"/>
        </w:rPr>
        <w:t>● 采用了Tobii Pro 新的眼动追踪技术</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jc w:val="left"/>
        <w:rPr>
          <w:i w:val="0"/>
          <w:u w:val="none"/>
        </w:rPr>
      </w:pPr>
      <w:r>
        <w:rPr>
          <w:rFonts w:hint="eastAsia" w:ascii="宋体" w:hAnsi="宋体" w:eastAsia="宋体" w:cs="宋体"/>
          <w:i w:val="0"/>
          <w:caps w:val="0"/>
          <w:color w:val="000000"/>
          <w:spacing w:val="0"/>
          <w:kern w:val="0"/>
          <w:sz w:val="21"/>
          <w:szCs w:val="21"/>
          <w:u w:val="none"/>
          <w:bdr w:val="none" w:color="auto" w:sz="0" w:space="0"/>
          <w:shd w:val="clear" w:fill="FFFFFF"/>
          <w:lang w:val="en-US" w:eastAsia="zh-CN" w:bidi="ar"/>
        </w:rPr>
        <w:t>● 在整个追踪范围内的眼动数据准确度较高</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jc w:val="left"/>
        <w:rPr>
          <w:i w:val="0"/>
          <w:u w:val="none"/>
        </w:rPr>
      </w:pPr>
      <w:r>
        <w:rPr>
          <w:rFonts w:hint="eastAsia" w:ascii="宋体" w:hAnsi="宋体" w:eastAsia="宋体" w:cs="宋体"/>
          <w:i w:val="0"/>
          <w:caps w:val="0"/>
          <w:color w:val="000000"/>
          <w:spacing w:val="0"/>
          <w:kern w:val="0"/>
          <w:sz w:val="21"/>
          <w:szCs w:val="21"/>
          <w:u w:val="none"/>
          <w:bdr w:val="none" w:color="auto" w:sz="0" w:space="0"/>
          <w:shd w:val="clear" w:fill="FFFFFF"/>
          <w:lang w:val="en-US" w:eastAsia="zh-CN" w:bidi="ar"/>
        </w:rPr>
        <w:t>● 兼容更广泛的被试群体，无论种族、是否佩戴眼镜</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jc w:val="left"/>
        <w:rPr>
          <w:i w:val="0"/>
          <w:u w:val="none"/>
        </w:rPr>
      </w:pPr>
      <w:r>
        <w:rPr>
          <w:rFonts w:hint="eastAsia" w:ascii="宋体" w:hAnsi="宋体" w:eastAsia="宋体" w:cs="宋体"/>
          <w:i w:val="0"/>
          <w:caps w:val="0"/>
          <w:color w:val="000000"/>
          <w:spacing w:val="0"/>
          <w:kern w:val="0"/>
          <w:sz w:val="21"/>
          <w:szCs w:val="21"/>
          <w:u w:val="none"/>
          <w:bdr w:val="none" w:color="auto" w:sz="0" w:space="0"/>
          <w:shd w:val="clear" w:fill="FFFFFF"/>
          <w:lang w:val="en-US" w:eastAsia="zh-CN" w:bidi="ar"/>
        </w:rPr>
        <w:t>● 被试者视线超出追踪范围或眨眼时眼动追踪可实时恢复，将数据丢失率降至最低</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jc w:val="left"/>
        <w:rPr>
          <w:i w:val="0"/>
          <w:u w:val="none"/>
        </w:rPr>
      </w:pPr>
      <w:r>
        <w:rPr>
          <w:rFonts w:hint="eastAsia" w:ascii="宋体" w:hAnsi="宋体" w:eastAsia="宋体" w:cs="宋体"/>
          <w:i w:val="0"/>
          <w:caps w:val="0"/>
          <w:color w:val="000000"/>
          <w:spacing w:val="0"/>
          <w:kern w:val="0"/>
          <w:sz w:val="21"/>
          <w:szCs w:val="21"/>
          <w:u w:val="none"/>
          <w:bdr w:val="none" w:color="auto" w:sz="0" w:space="0"/>
          <w:shd w:val="clear" w:fill="FFFFFF"/>
          <w:lang w:val="en-US" w:eastAsia="zh-CN" w:bidi="ar"/>
        </w:rPr>
        <w:t>● 被试者头动或光线条件变化时能够保持数据准确度和稳定的追踪能力</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jc w:val="left"/>
        <w:rPr>
          <w:i w:val="0"/>
          <w:u w:val="none"/>
        </w:rPr>
      </w:pPr>
      <w:r>
        <w:rPr>
          <w:rFonts w:hint="eastAsia" w:ascii="宋体" w:hAnsi="宋体" w:eastAsia="宋体" w:cs="宋体"/>
          <w:i w:val="0"/>
          <w:caps w:val="0"/>
          <w:color w:val="000000"/>
          <w:spacing w:val="0"/>
          <w:kern w:val="0"/>
          <w:sz w:val="21"/>
          <w:szCs w:val="21"/>
          <w:u w:val="none"/>
          <w:bdr w:val="none" w:color="auto" w:sz="0" w:space="0"/>
          <w:shd w:val="clear" w:fill="FFFFFF"/>
          <w:lang w:val="en-US" w:eastAsia="zh-CN" w:bidi="ar"/>
        </w:rPr>
        <w:t>● 自适应明瞳或暗瞳追踪</w:t>
      </w:r>
    </w:p>
    <w:p>
      <w:pPr>
        <w:spacing w:line="440" w:lineRule="exact"/>
        <w:rPr>
          <w:rFonts w:hint="eastAsia" w:ascii="宋体" w:hAnsi="宋体" w:cs="宋体"/>
          <w:color w:val="000000"/>
          <w:kern w:val="0"/>
          <w:szCs w:val="21"/>
        </w:rPr>
      </w:pPr>
    </w:p>
    <w:p>
      <w:pPr>
        <w:spacing w:line="440" w:lineRule="exact"/>
        <w:ind w:firstLine="420" w:firstLineChars="200"/>
        <w:rPr>
          <w:rFonts w:ascii="宋体" w:hAnsi="宋体" w:cs="宋体"/>
          <w:color w:val="000000"/>
          <w:kern w:val="0"/>
          <w:szCs w:val="21"/>
        </w:rPr>
      </w:pPr>
      <w:r>
        <w:rPr>
          <w:rFonts w:hint="eastAsia" w:ascii="宋体" w:hAnsi="宋体" w:cs="宋体"/>
          <w:color w:val="000000"/>
          <w:kern w:val="0"/>
          <w:szCs w:val="21"/>
        </w:rPr>
        <w:t>Tobii ProX3-120采用超薄设计且性能强大，可方便地在任何场所开展您的研究。全新的眼动追踪技术使其能够比以往兼容更广泛的被试人群，专为基于注视行为细节的各类研究而设计。</w:t>
      </w:r>
    </w:p>
    <w:p>
      <w:pPr>
        <w:spacing w:line="440" w:lineRule="exact"/>
        <w:ind w:firstLine="420" w:firstLineChars="200"/>
        <w:rPr>
          <w:rFonts w:ascii="宋体" w:hAnsi="宋体" w:cs="宋体"/>
          <w:color w:val="000000"/>
          <w:kern w:val="0"/>
          <w:szCs w:val="21"/>
        </w:rPr>
      </w:pPr>
      <w:r>
        <w:rPr>
          <w:rFonts w:hint="eastAsia" w:ascii="宋体" w:hAnsi="宋体" w:cs="宋体"/>
          <w:color w:val="000000"/>
          <w:kern w:val="0"/>
          <w:szCs w:val="21"/>
        </w:rPr>
        <w:t>ProX3-120产品灵活性高，可应用于广泛的人类行为研究中。它拥有比以往更强大的兼容性，可适应更广泛的被试人群，而它严谨的外观设计极大程度上确保了无干扰的数据采集。可准确记录人们的视线位置，拥有120Hz采样率，专为各类需要考察时效和注视时间的研究而设计。Tobii ProX3-120眼动仪可应用于定性和定量研究中。</w:t>
      </w:r>
    </w:p>
    <w:p>
      <w:pPr>
        <w:spacing w:line="440" w:lineRule="exact"/>
        <w:ind w:firstLine="420" w:firstLineChars="200"/>
        <w:rPr>
          <w:rFonts w:hint="eastAsia" w:ascii="宋体" w:hAnsi="宋体" w:cs="宋体"/>
          <w:color w:val="000000"/>
          <w:kern w:val="0"/>
          <w:szCs w:val="21"/>
        </w:rPr>
      </w:pPr>
    </w:p>
    <w:p>
      <w:pPr>
        <w:spacing w:line="440" w:lineRule="exact"/>
        <w:ind w:firstLine="420" w:firstLineChars="200"/>
        <w:rPr>
          <w:rFonts w:ascii="宋体" w:hAnsi="宋体" w:cs="宋体"/>
          <w:color w:val="000000"/>
          <w:kern w:val="0"/>
          <w:szCs w:val="21"/>
        </w:rPr>
      </w:pPr>
      <w:r>
        <w:rPr>
          <w:rFonts w:hint="eastAsia" w:ascii="宋体" w:hAnsi="宋体" w:cs="宋体"/>
          <w:color w:val="000000"/>
          <w:kern w:val="0"/>
          <w:szCs w:val="21"/>
        </w:rPr>
        <w:t>ProX3-120型眼动仪的技术参数：</w:t>
      </w:r>
    </w:p>
    <w:p>
      <w:pPr>
        <w:numPr>
          <w:ilvl w:val="0"/>
          <w:numId w:val="1"/>
        </w:numPr>
        <w:spacing w:line="440" w:lineRule="exact"/>
        <w:rPr>
          <w:rFonts w:ascii="宋体" w:hAnsi="宋体" w:cs="宋体"/>
          <w:color w:val="000000"/>
          <w:kern w:val="0"/>
          <w:szCs w:val="21"/>
        </w:rPr>
      </w:pPr>
      <w:r>
        <w:rPr>
          <w:rFonts w:hint="eastAsia" w:ascii="宋体" w:hAnsi="宋体" w:cs="宋体"/>
          <w:color w:val="000000"/>
          <w:kern w:val="0"/>
          <w:szCs w:val="21"/>
        </w:rPr>
        <w:t>采样率：120Hz</w:t>
      </w:r>
    </w:p>
    <w:p>
      <w:pPr>
        <w:numPr>
          <w:ilvl w:val="0"/>
          <w:numId w:val="1"/>
        </w:numPr>
        <w:spacing w:line="440" w:lineRule="exact"/>
        <w:rPr>
          <w:rFonts w:ascii="宋体" w:hAnsi="宋体" w:cs="宋体"/>
        </w:rPr>
      </w:pPr>
      <w:r>
        <w:rPr>
          <w:rFonts w:hint="eastAsia" w:ascii="宋体" w:hAnsi="宋体" w:cs="宋体"/>
          <w:color w:val="000000"/>
          <w:kern w:val="0"/>
          <w:szCs w:val="21"/>
        </w:rPr>
        <w:t>准确率：</w:t>
      </w:r>
      <w:r>
        <w:rPr>
          <w:rFonts w:hint="eastAsia" w:ascii="宋体" w:hAnsi="宋体" w:cs="宋体"/>
        </w:rPr>
        <w:t>0.4°</w:t>
      </w:r>
    </w:p>
    <w:p>
      <w:pPr>
        <w:numPr>
          <w:ilvl w:val="0"/>
          <w:numId w:val="1"/>
        </w:numPr>
        <w:spacing w:line="440" w:lineRule="exact"/>
        <w:rPr>
          <w:rFonts w:ascii="宋体" w:hAnsi="宋体" w:cs="宋体"/>
        </w:rPr>
      </w:pPr>
      <w:r>
        <w:rPr>
          <w:rFonts w:hint="eastAsia" w:ascii="宋体" w:hAnsi="宋体" w:cs="宋体"/>
          <w:color w:val="000000"/>
          <w:kern w:val="0"/>
          <w:szCs w:val="21"/>
        </w:rPr>
        <w:t>自由头动范围长</w:t>
      </w:r>
      <w:r>
        <w:rPr>
          <w:rFonts w:hint="eastAsia" w:ascii="宋体" w:hAnsi="宋体" w:cs="宋体"/>
        </w:rPr>
        <w:t>×</w:t>
      </w:r>
      <w:r>
        <w:rPr>
          <w:rFonts w:hint="eastAsia" w:ascii="宋体" w:hAnsi="宋体" w:cs="宋体"/>
          <w:color w:val="000000"/>
          <w:kern w:val="0"/>
          <w:szCs w:val="21"/>
        </w:rPr>
        <w:t>宽：50</w:t>
      </w:r>
      <w:r>
        <w:rPr>
          <w:rFonts w:hint="eastAsia" w:ascii="宋体" w:hAnsi="宋体" w:cs="宋体"/>
        </w:rPr>
        <w:t>×</w:t>
      </w:r>
      <w:r>
        <w:rPr>
          <w:rFonts w:hint="eastAsia" w:ascii="宋体" w:hAnsi="宋体" w:cs="宋体"/>
          <w:color w:val="000000"/>
          <w:kern w:val="0"/>
          <w:szCs w:val="21"/>
        </w:rPr>
        <w:t>40CM @ 80CM</w:t>
      </w:r>
    </w:p>
    <w:p>
      <w:pPr>
        <w:numPr>
          <w:ilvl w:val="0"/>
          <w:numId w:val="1"/>
        </w:numPr>
        <w:spacing w:line="440" w:lineRule="exact"/>
        <w:rPr>
          <w:rFonts w:ascii="宋体" w:hAnsi="宋体" w:cs="宋体"/>
        </w:rPr>
      </w:pPr>
      <w:r>
        <w:rPr>
          <w:rFonts w:hint="eastAsia" w:ascii="宋体" w:hAnsi="宋体" w:cs="宋体"/>
          <w:color w:val="000000"/>
          <w:kern w:val="0"/>
          <w:szCs w:val="21"/>
        </w:rPr>
        <w:t>操作距离：50-90 CM</w:t>
      </w:r>
    </w:p>
    <w:p>
      <w:pPr>
        <w:numPr>
          <w:ilvl w:val="0"/>
          <w:numId w:val="1"/>
        </w:numPr>
        <w:spacing w:line="440" w:lineRule="exact"/>
        <w:rPr>
          <w:rFonts w:ascii="宋体" w:hAnsi="宋体" w:cs="宋体"/>
        </w:rPr>
      </w:pPr>
      <w:r>
        <w:rPr>
          <w:rFonts w:hint="eastAsia" w:ascii="宋体" w:hAnsi="宋体" w:cs="宋体"/>
          <w:color w:val="000000"/>
          <w:kern w:val="0"/>
          <w:szCs w:val="21"/>
        </w:rPr>
        <w:t>系统延迟:&lt; 11ms</w:t>
      </w:r>
    </w:p>
    <w:p>
      <w:pPr>
        <w:numPr>
          <w:ilvl w:val="0"/>
          <w:numId w:val="1"/>
        </w:numPr>
        <w:spacing w:line="440" w:lineRule="exact"/>
        <w:rPr>
          <w:rFonts w:ascii="宋体" w:hAnsi="宋体" w:cs="宋体"/>
        </w:rPr>
      </w:pPr>
      <w:r>
        <w:rPr>
          <w:rFonts w:hint="eastAsia" w:ascii="宋体" w:hAnsi="宋体" w:cs="宋体"/>
          <w:color w:val="000000"/>
          <w:kern w:val="0"/>
          <w:szCs w:val="21"/>
        </w:rPr>
        <w:t>数据恢复时间:眨眼可立即恢复；追踪丢失后&lt; 100ms</w:t>
      </w:r>
    </w:p>
    <w:p>
      <w:pPr>
        <w:numPr>
          <w:ilvl w:val="0"/>
          <w:numId w:val="1"/>
        </w:numPr>
        <w:spacing w:line="440" w:lineRule="exact"/>
        <w:rPr>
          <w:rFonts w:ascii="宋体" w:hAnsi="宋体" w:cs="宋体"/>
        </w:rPr>
      </w:pPr>
      <w:r>
        <w:rPr>
          <w:rFonts w:hint="eastAsia" w:ascii="宋体" w:hAnsi="宋体" w:cs="宋体"/>
          <w:color w:val="000000"/>
          <w:kern w:val="0"/>
          <w:szCs w:val="21"/>
        </w:rPr>
        <w:t>推荐屏幕尺寸:Max 25＂</w:t>
      </w:r>
    </w:p>
    <w:p>
      <w:pPr>
        <w:numPr>
          <w:ilvl w:val="0"/>
          <w:numId w:val="1"/>
        </w:numPr>
        <w:spacing w:line="440" w:lineRule="exact"/>
        <w:rPr>
          <w:rFonts w:ascii="宋体" w:hAnsi="宋体" w:cs="宋体"/>
        </w:rPr>
      </w:pPr>
      <w:r>
        <w:rPr>
          <w:rFonts w:hint="eastAsia" w:ascii="宋体" w:hAnsi="宋体" w:cs="宋体"/>
          <w:color w:val="000000"/>
          <w:kern w:val="0"/>
          <w:szCs w:val="21"/>
        </w:rPr>
        <w:t>追踪技术：双眼采集，明瞳和暗瞳结合追踪（BP/DP）</w:t>
      </w:r>
    </w:p>
    <w:p>
      <w:pPr>
        <w:numPr>
          <w:ilvl w:val="0"/>
          <w:numId w:val="1"/>
        </w:numPr>
        <w:spacing w:line="440" w:lineRule="exact"/>
        <w:rPr>
          <w:rFonts w:ascii="宋体" w:hAnsi="宋体" w:cs="宋体"/>
        </w:rPr>
      </w:pPr>
      <w:r>
        <w:rPr>
          <w:rFonts w:hint="eastAsia" w:ascii="宋体" w:hAnsi="宋体" w:cs="宋体"/>
          <w:color w:val="000000"/>
          <w:kern w:val="0"/>
          <w:szCs w:val="21"/>
        </w:rPr>
        <w:t>数据输出（每只眼）:时间点、眼球位置、注视点位置、瞳孔直径、数据有效代码</w:t>
      </w:r>
    </w:p>
    <w:p>
      <w:pPr>
        <w:numPr>
          <w:ilvl w:val="0"/>
          <w:numId w:val="1"/>
        </w:numPr>
        <w:spacing w:line="440" w:lineRule="exact"/>
        <w:rPr>
          <w:rFonts w:ascii="宋体" w:hAnsi="宋体" w:cs="宋体"/>
        </w:rPr>
      </w:pPr>
      <w:r>
        <w:rPr>
          <w:rFonts w:hint="eastAsia" w:ascii="宋体" w:hAnsi="宋体" w:cs="宋体"/>
          <w:color w:val="000000"/>
          <w:kern w:val="0"/>
          <w:szCs w:val="21"/>
        </w:rPr>
        <w:t>尺寸：324</w:t>
      </w:r>
      <w:r>
        <w:rPr>
          <w:rFonts w:hint="eastAsia" w:ascii="宋体" w:hAnsi="宋体" w:cs="宋体"/>
        </w:rPr>
        <w:t>×</w:t>
      </w:r>
      <w:r>
        <w:rPr>
          <w:rFonts w:hint="eastAsia" w:ascii="宋体" w:hAnsi="宋体" w:cs="宋体"/>
          <w:color w:val="000000"/>
          <w:kern w:val="0"/>
          <w:szCs w:val="21"/>
        </w:rPr>
        <w:t>20</w:t>
      </w:r>
      <w:r>
        <w:rPr>
          <w:rFonts w:hint="eastAsia" w:ascii="宋体" w:hAnsi="宋体" w:cs="宋体"/>
        </w:rPr>
        <w:t>×</w:t>
      </w:r>
      <w:r>
        <w:rPr>
          <w:rFonts w:hint="eastAsia" w:ascii="宋体" w:hAnsi="宋体" w:cs="宋体"/>
          <w:color w:val="000000"/>
          <w:kern w:val="0"/>
          <w:szCs w:val="21"/>
        </w:rPr>
        <w:t>17mm</w:t>
      </w:r>
    </w:p>
    <w:p>
      <w:pPr>
        <w:numPr>
          <w:ilvl w:val="0"/>
          <w:numId w:val="1"/>
        </w:numPr>
        <w:spacing w:line="440" w:lineRule="exact"/>
        <w:rPr>
          <w:rFonts w:ascii="宋体" w:hAnsi="宋体" w:cs="宋体"/>
        </w:rPr>
      </w:pPr>
      <w:r>
        <w:rPr>
          <w:rFonts w:hint="eastAsia" w:ascii="宋体" w:hAnsi="宋体" w:cs="宋体"/>
          <w:color w:val="000000"/>
          <w:kern w:val="0"/>
          <w:szCs w:val="21"/>
        </w:rPr>
        <w:t>重量:118g</w:t>
      </w:r>
    </w:p>
    <w:p>
      <w:pPr>
        <w:numPr>
          <w:ilvl w:val="0"/>
          <w:numId w:val="1"/>
        </w:numPr>
        <w:spacing w:line="440" w:lineRule="exact"/>
        <w:rPr>
          <w:rFonts w:ascii="宋体" w:hAnsi="宋体" w:cs="宋体"/>
        </w:rPr>
      </w:pPr>
      <w:r>
        <w:rPr>
          <w:rFonts w:hint="eastAsia" w:ascii="宋体" w:hAnsi="宋体" w:cs="宋体"/>
          <w:color w:val="000000"/>
          <w:kern w:val="0"/>
          <w:szCs w:val="21"/>
        </w:rPr>
        <w:t>数据处理模块:On local PC or EPU</w:t>
      </w:r>
    </w:p>
    <w:p>
      <w:pPr>
        <w:numPr>
          <w:ilvl w:val="0"/>
          <w:numId w:val="1"/>
        </w:numPr>
        <w:spacing w:line="440" w:lineRule="exact"/>
        <w:rPr>
          <w:rFonts w:ascii="宋体" w:hAnsi="宋体" w:cs="宋体"/>
        </w:rPr>
      </w:pPr>
      <w:r>
        <w:rPr>
          <w:rFonts w:hint="eastAsia" w:ascii="宋体" w:hAnsi="宋体" w:cs="宋体"/>
          <w:color w:val="000000"/>
          <w:kern w:val="0"/>
          <w:szCs w:val="21"/>
        </w:rPr>
        <w:t>CPU负荷:12-20% on iCore5 laptop</w:t>
      </w:r>
    </w:p>
    <w:p>
      <w:pPr>
        <w:numPr>
          <w:ilvl w:val="0"/>
          <w:numId w:val="1"/>
        </w:numPr>
        <w:spacing w:line="440" w:lineRule="exact"/>
      </w:pPr>
      <w:r>
        <w:rPr>
          <w:rFonts w:hint="eastAsia" w:ascii="宋体" w:hAnsi="宋体" w:cs="宋体"/>
        </w:rPr>
        <w:t>电源输入/连接口：USB3.0，LAN with EPU</w:t>
      </w:r>
    </w:p>
    <w:p>
      <w:pPr>
        <w:numPr>
          <w:numId w:val="0"/>
        </w:numPr>
        <w:spacing w:line="440" w:lineRule="exact"/>
        <w:ind w:left="420" w:leftChars="0"/>
      </w:pPr>
    </w:p>
    <w:p>
      <w:pPr>
        <w:keepNext w:val="0"/>
        <w:keepLines w:val="0"/>
        <w:widowControl/>
        <w:numPr>
          <w:ilvl w:val="0"/>
          <w:numId w:val="2"/>
        </w:numPr>
        <w:suppressLineNumbers w:val="0"/>
        <w:jc w:val="left"/>
        <w:rPr>
          <w:rFonts w:hint="eastAsia" w:ascii="宋体" w:hAnsi="宋体" w:cs="宋体"/>
          <w:b/>
          <w:i w:val="0"/>
          <w:caps w:val="0"/>
          <w:color w:val="333333"/>
          <w:spacing w:val="0"/>
          <w:kern w:val="0"/>
          <w:sz w:val="24"/>
          <w:szCs w:val="24"/>
          <w:u w:val="none"/>
          <w:shd w:val="clear" w:fill="FFFFFF"/>
          <w:lang w:val="en-US" w:eastAsia="zh-CN" w:bidi="ar"/>
        </w:rPr>
      </w:pPr>
      <w:bookmarkStart w:id="0" w:name="_Toc516841288"/>
      <w:r>
        <w:rPr>
          <w:rFonts w:hint="eastAsia" w:ascii="宋体" w:hAnsi="宋体" w:cs="宋体"/>
          <w:b/>
          <w:i w:val="0"/>
          <w:caps w:val="0"/>
          <w:color w:val="333333"/>
          <w:spacing w:val="0"/>
          <w:kern w:val="0"/>
          <w:sz w:val="24"/>
          <w:szCs w:val="24"/>
          <w:u w:val="none"/>
          <w:shd w:val="clear" w:fill="FFFFFF"/>
          <w:lang w:val="en-US" w:eastAsia="zh-CN" w:bidi="ar"/>
        </w:rPr>
        <w:t>研究案例</w:t>
      </w:r>
      <w:bookmarkEnd w:id="0"/>
      <w:bookmarkStart w:id="1" w:name="_Toc414486372"/>
    </w:p>
    <w:p>
      <w:pPr>
        <w:keepNext w:val="0"/>
        <w:keepLines w:val="0"/>
        <w:widowControl/>
        <w:numPr>
          <w:numId w:val="0"/>
        </w:numPr>
        <w:suppressLineNumbers w:val="0"/>
        <w:jc w:val="left"/>
        <w:rPr>
          <w:rFonts w:hint="eastAsia" w:ascii="宋体" w:hAnsi="宋体" w:cs="宋体"/>
          <w:b/>
          <w:i w:val="0"/>
          <w:caps w:val="0"/>
          <w:color w:val="333333"/>
          <w:spacing w:val="0"/>
          <w:kern w:val="0"/>
          <w:sz w:val="24"/>
          <w:szCs w:val="24"/>
          <w:u w:val="none"/>
          <w:shd w:val="clear" w:fill="FFFFFF"/>
          <w:lang w:val="en-US" w:eastAsia="zh-CN" w:bidi="ar"/>
        </w:rPr>
      </w:pPr>
    </w:p>
    <w:p>
      <w:pPr>
        <w:spacing w:line="480" w:lineRule="exact"/>
        <w:jc w:val="center"/>
        <w:rPr>
          <w:rFonts w:hint="eastAsia"/>
          <w:b/>
          <w:sz w:val="21"/>
          <w:szCs w:val="21"/>
          <w:lang w:eastAsia="zh-CN"/>
        </w:rPr>
      </w:pPr>
      <w:r>
        <w:rPr>
          <w:rFonts w:hint="eastAsia"/>
          <w:b/>
          <w:sz w:val="21"/>
          <w:szCs w:val="21"/>
        </w:rPr>
        <w:t>tobii眼动追踪系统的研究案例</w:t>
      </w:r>
      <w:r>
        <w:rPr>
          <w:rFonts w:hint="eastAsia"/>
          <w:b/>
          <w:sz w:val="21"/>
          <w:szCs w:val="21"/>
          <w:lang w:eastAsia="zh-CN"/>
        </w:rPr>
        <w:t>：</w:t>
      </w:r>
    </w:p>
    <w:p>
      <w:pPr>
        <w:spacing w:line="480" w:lineRule="exact"/>
        <w:jc w:val="center"/>
        <w:rPr>
          <w:rFonts w:ascii="宋体" w:hAnsi="宋体"/>
          <w:b/>
          <w:sz w:val="21"/>
          <w:szCs w:val="21"/>
        </w:rPr>
      </w:pPr>
      <w:r>
        <w:rPr>
          <w:rFonts w:ascii="宋体" w:hAnsi="宋体"/>
          <w:b/>
          <w:sz w:val="21"/>
          <w:szCs w:val="21"/>
        </w:rPr>
        <w:t>使用眼动追踪验证不同文化群体间的情绪性倾向观点</w:t>
      </w:r>
      <w:bookmarkEnd w:id="1"/>
    </w:p>
    <w:p>
      <w:pPr>
        <w:spacing w:line="480" w:lineRule="exact"/>
        <w:jc w:val="both"/>
        <w:rPr>
          <w:rFonts w:ascii="宋体" w:hAnsi="宋体"/>
          <w:b/>
          <w:szCs w:val="21"/>
        </w:rPr>
      </w:pPr>
    </w:p>
    <w:p>
      <w:pPr>
        <w:widowControl/>
        <w:spacing w:line="480" w:lineRule="exact"/>
        <w:ind w:firstLine="420" w:firstLineChars="0"/>
        <w:jc w:val="left"/>
        <w:rPr>
          <w:rFonts w:ascii="宋体" w:hAnsi="宋体" w:cs="Arial"/>
          <w:color w:val="4A4A4A"/>
          <w:kern w:val="0"/>
          <w:szCs w:val="21"/>
        </w:rPr>
      </w:pPr>
      <w:r>
        <w:rPr>
          <w:rFonts w:ascii="宋体" w:hAnsi="宋体" w:cs="宋体"/>
          <w:color w:val="000000"/>
          <w:kern w:val="0"/>
          <w:szCs w:val="21"/>
        </w:rPr>
        <w:t>儿童和成人先天具有一种趋势，即对出现的负面情绪更为关注，尤其是对“恐惧的表情”的关注程度高于“中立的表情”。近期的一项眼动追踪研究证实了这项观点，该研究通过测试被试者对面部表情的反应，揭示出负面倾向在不同文化群体之间的影响。</w:t>
      </w:r>
      <w:r>
        <w:rPr>
          <w:rFonts w:ascii="宋体" w:hAnsi="宋体" w:cs="Arial"/>
          <w:color w:val="4A4A4A"/>
          <w:kern w:val="0"/>
          <w:szCs w:val="21"/>
        </w:rPr>
        <w:t xml:space="preserve"> </w:t>
      </w:r>
    </w:p>
    <w:p>
      <w:pPr>
        <w:widowControl/>
        <w:spacing w:line="480" w:lineRule="exact"/>
        <w:ind w:firstLine="420" w:firstLineChars="0"/>
        <w:jc w:val="left"/>
        <w:rPr>
          <w:rFonts w:ascii="宋体" w:hAnsi="宋体" w:cs="Arial"/>
          <w:color w:val="4A4A4A"/>
          <w:kern w:val="0"/>
          <w:szCs w:val="21"/>
        </w:rPr>
      </w:pPr>
    </w:p>
    <w:p>
      <w:pPr>
        <w:spacing w:line="480" w:lineRule="exact"/>
        <w:rPr>
          <w:rFonts w:ascii="宋体" w:hAnsi="宋体"/>
          <w:b/>
          <w:szCs w:val="21"/>
        </w:rPr>
      </w:pPr>
      <w:r>
        <w:rPr>
          <w:rFonts w:ascii="宋体" w:hAnsi="宋体"/>
          <w:b/>
          <w:szCs w:val="21"/>
        </w:rPr>
        <w:t>研究背景</w:t>
      </w:r>
    </w:p>
    <w:p>
      <w:pPr>
        <w:widowControl/>
        <w:spacing w:line="480" w:lineRule="exact"/>
        <w:jc w:val="left"/>
        <w:rPr>
          <w:rFonts w:ascii="宋体" w:hAnsi="宋体" w:cs="宋体"/>
          <w:color w:val="000000"/>
          <w:kern w:val="0"/>
          <w:szCs w:val="21"/>
        </w:rPr>
      </w:pPr>
      <w:r>
        <w:rPr>
          <w:rFonts w:ascii="宋体" w:hAnsi="宋体" w:cs="宋体"/>
          <w:color w:val="000000"/>
          <w:kern w:val="0"/>
          <w:szCs w:val="21"/>
        </w:rPr>
        <w:t>“负面倾向” （Negativity bias）是指对诸如愤怒或恐惧等负面情绪表情的认知速度和反应比对中立情绪或正向表情更快的现象。这可能是因为负向偏见是与生俱来的，因此无关文化背景，此现象可能会出现在婴幼儿早期。另外，这种负面趋势可能也存在于其他物种之中，如灵长类动物。</w:t>
      </w:r>
    </w:p>
    <w:p>
      <w:pPr>
        <w:widowControl/>
        <w:spacing w:line="480" w:lineRule="exact"/>
        <w:jc w:val="left"/>
        <w:rPr>
          <w:rFonts w:ascii="宋体" w:hAnsi="宋体" w:cs="宋体"/>
          <w:color w:val="000000"/>
          <w:kern w:val="0"/>
          <w:szCs w:val="21"/>
        </w:rPr>
      </w:pPr>
      <w:r>
        <w:rPr>
          <w:rFonts w:ascii="宋体" w:hAnsi="宋体" w:cs="宋体"/>
          <w:color w:val="000000"/>
          <w:kern w:val="0"/>
          <w:szCs w:val="21"/>
        </w:rPr>
        <w:t>在本研究中，使用眼动追踪通过衡量和分析对面部表情的注视时间，在发展心理学和进化心理学范畴内对不同文化群体中的负面倾向现象进行了研究。主要考察了两个来自截然不同的文化群体的儿童和成人（德国人和纳米比亚游牧民）是否观察负面情绪表情比正向或中立的表情更迅速、更频繁、注视时间更长。</w:t>
      </w:r>
    </w:p>
    <w:p>
      <w:pPr>
        <w:widowControl/>
        <w:spacing w:line="480" w:lineRule="exact"/>
        <w:jc w:val="left"/>
        <w:rPr>
          <w:rFonts w:ascii="宋体" w:hAnsi="宋体" w:cs="宋体"/>
          <w:color w:val="000000"/>
          <w:kern w:val="0"/>
          <w:szCs w:val="21"/>
        </w:rPr>
      </w:pPr>
    </w:p>
    <w:p>
      <w:pPr>
        <w:spacing w:line="480" w:lineRule="exact"/>
        <w:rPr>
          <w:rFonts w:ascii="宋体" w:hAnsi="宋体"/>
          <w:b/>
          <w:szCs w:val="21"/>
        </w:rPr>
      </w:pPr>
      <w:r>
        <w:rPr>
          <w:rFonts w:ascii="宋体" w:hAnsi="宋体"/>
          <w:b/>
          <w:szCs w:val="21"/>
        </w:rPr>
        <w:t>研究目标</w:t>
      </w:r>
    </w:p>
    <w:p>
      <w:pPr>
        <w:widowControl/>
        <w:spacing w:line="480" w:lineRule="exact"/>
        <w:ind w:firstLine="420" w:firstLineChars="0"/>
        <w:jc w:val="left"/>
        <w:rPr>
          <w:rFonts w:ascii="宋体" w:hAnsi="宋体" w:cs="宋体"/>
          <w:color w:val="000000"/>
          <w:kern w:val="0"/>
          <w:szCs w:val="21"/>
        </w:rPr>
      </w:pPr>
      <w:r>
        <w:rPr>
          <w:rFonts w:ascii="宋体" w:hAnsi="宋体" w:cs="宋体"/>
          <w:color w:val="000000"/>
          <w:kern w:val="0"/>
          <w:szCs w:val="21"/>
        </w:rPr>
        <w:t>本研究旨在找出负向偏见的潜在进化功能的基本特征及其文化依赖性和发展存在期。假设不同文化群体中的幼儿与成年人对负面情绪信息的反应 (如，注视时间的增加) 多与正向或中立情绪信息。</w:t>
      </w:r>
    </w:p>
    <w:p>
      <w:pPr>
        <w:widowControl/>
        <w:spacing w:line="480" w:lineRule="exact"/>
        <w:jc w:val="left"/>
        <w:rPr>
          <w:rFonts w:ascii="宋体" w:hAnsi="宋体" w:cs="宋体"/>
          <w:color w:val="000000"/>
          <w:kern w:val="0"/>
          <w:szCs w:val="21"/>
        </w:rPr>
      </w:pPr>
    </w:p>
    <w:p>
      <w:pPr>
        <w:spacing w:line="480" w:lineRule="exact"/>
        <w:rPr>
          <w:rFonts w:hint="eastAsia" w:ascii="宋体" w:hAnsi="宋体"/>
          <w:b/>
          <w:szCs w:val="21"/>
        </w:rPr>
      </w:pPr>
      <w:r>
        <w:rPr>
          <w:rFonts w:hint="eastAsia" w:ascii="宋体" w:hAnsi="宋体"/>
          <w:b/>
          <w:szCs w:val="21"/>
        </w:rPr>
        <w:t>研究工具与方法</w:t>
      </w:r>
    </w:p>
    <w:p>
      <w:pPr>
        <w:widowControl/>
        <w:spacing w:line="480" w:lineRule="exact"/>
        <w:ind w:firstLine="420" w:firstLineChars="0"/>
        <w:jc w:val="left"/>
        <w:rPr>
          <w:rFonts w:hint="eastAsia" w:ascii="宋体" w:hAnsi="宋体" w:cs="宋体"/>
          <w:color w:val="000000"/>
          <w:kern w:val="0"/>
          <w:szCs w:val="21"/>
        </w:rPr>
      </w:pPr>
      <w:r>
        <w:rPr>
          <w:rFonts w:hint="eastAsia" w:ascii="宋体" w:hAnsi="宋体" w:cs="宋体"/>
          <w:color w:val="000000"/>
          <w:kern w:val="0"/>
          <w:szCs w:val="21"/>
        </w:rPr>
        <w:t>目前共有31名学龄前儿童（4-5岁），60 名小学生(7-9岁) 和40名成年人被试者参与了测试。但这仅是目前为止的初步结果，研究仍在继续。研究人员为被试者呈现两种负面情绪的面部表情 (恐惧–高度情绪唤起和悲伤– 低度情绪唤起)，一种正向面部表情(高兴) 和一张中立面孔。每种面部表情包含两组刺激 (白种人– “白” 和美国黑人– “黑”)，以此观察对不同人种的面孔加工是否存在差异。这些面孔图像均取自NimStim Face Stimulus Set 情绪图片库 (MacBrain Database; Tottenham et al., 2009)。</w:t>
      </w:r>
    </w:p>
    <w:p>
      <w:pPr>
        <w:widowControl/>
        <w:spacing w:line="480" w:lineRule="exact"/>
        <w:ind w:firstLine="420" w:firstLineChars="0"/>
        <w:jc w:val="left"/>
        <w:rPr>
          <w:rFonts w:hint="eastAsia" w:ascii="宋体" w:hAnsi="宋体" w:cs="宋体"/>
          <w:color w:val="000000"/>
          <w:kern w:val="0"/>
          <w:szCs w:val="21"/>
        </w:rPr>
      </w:pPr>
      <w:r>
        <w:rPr>
          <w:rFonts w:ascii="宋体" w:hAnsi="宋体" w:cs="宋体"/>
          <w:color w:val="000000"/>
          <w:kern w:val="0"/>
          <w:szCs w:val="21"/>
        </w:rPr>
        <w:drawing>
          <wp:anchor distT="0" distB="0" distL="114300" distR="114300" simplePos="0" relativeHeight="251658240" behindDoc="0" locked="0" layoutInCell="1" allowOverlap="1">
            <wp:simplePos x="0" y="0"/>
            <wp:positionH relativeFrom="page">
              <wp:posOffset>1428115</wp:posOffset>
            </wp:positionH>
            <wp:positionV relativeFrom="page">
              <wp:posOffset>8011795</wp:posOffset>
            </wp:positionV>
            <wp:extent cx="4230370" cy="1261110"/>
            <wp:effectExtent l="0" t="0" r="17780" b="15240"/>
            <wp:wrapTopAndBottom/>
            <wp:docPr id="9" name="图片 14" descr="说明: http://www.tobii.com/ImageVaultFiles/id_3350/cf_1790/st_edited/NpuCyzHDIrAaWibgd4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4" descr="说明: http://www.tobii.com/ImageVaultFiles/id_3350/cf_1790/st_edited/NpuCyzHDIrAaWibgd4d3.png"/>
                    <pic:cNvPicPr>
                      <a:picLocks noChangeAspect="1" noChangeArrowheads="1"/>
                    </pic:cNvPicPr>
                  </pic:nvPicPr>
                  <pic:blipFill>
                    <a:blip r:embed="rId13"/>
                    <a:srcRect/>
                    <a:stretch>
                      <a:fillRect/>
                    </a:stretch>
                  </pic:blipFill>
                  <pic:spPr>
                    <a:xfrm>
                      <a:off x="0" y="0"/>
                      <a:ext cx="4230370" cy="1261110"/>
                    </a:xfrm>
                    <a:prstGeom prst="rect">
                      <a:avLst/>
                    </a:prstGeom>
                    <a:noFill/>
                    <a:ln w="9525">
                      <a:noFill/>
                      <a:miter lim="800000"/>
                      <a:headEnd/>
                      <a:tailEnd/>
                    </a:ln>
                    <a:effectLst/>
                  </pic:spPr>
                </pic:pic>
              </a:graphicData>
            </a:graphic>
          </wp:anchor>
        </w:drawing>
      </w:r>
      <w:r>
        <w:rPr>
          <w:rFonts w:hint="eastAsia" w:ascii="宋体" w:hAnsi="宋体" w:cs="宋体"/>
          <w:color w:val="000000"/>
          <w:kern w:val="0"/>
          <w:szCs w:val="21"/>
        </w:rPr>
        <w:t>该研究使用了一台Tobii眼动仪来衡量对每张图像的注视时间。对成人和小学生被试者使用的是5点自动校准，对学龄前儿童被试使用了5点手动校准。面部表情图像始终成对呈现。每对图像呈现3000 毫秒，在下一对图像呈现前呈现一个十字符号。由于儿童的注意力的持续时间较短，为儿童呈现的图片只有56对，每名被试者的测试总时间为5分钟，而为成年人被试者呈现的图像共240对，每名被试者测试时长为15分钟 。</w:t>
      </w:r>
    </w:p>
    <w:p>
      <w:pPr>
        <w:widowControl/>
        <w:spacing w:line="480" w:lineRule="exact"/>
        <w:ind w:firstLine="420" w:firstLineChars="0"/>
        <w:jc w:val="left"/>
        <w:rPr>
          <w:rFonts w:hint="eastAsia" w:ascii="宋体" w:hAnsi="宋体" w:cs="宋体"/>
          <w:color w:val="000000"/>
          <w:kern w:val="0"/>
          <w:szCs w:val="21"/>
        </w:rPr>
      </w:pPr>
      <w:r>
        <w:rPr>
          <w:rFonts w:hint="eastAsia" w:ascii="宋体" w:hAnsi="宋体" w:cs="宋体"/>
          <w:color w:val="000000"/>
          <w:kern w:val="0"/>
          <w:szCs w:val="21"/>
        </w:rPr>
        <w:t>数据采样点间隔为16.67 毫秒(60Hz) ，以此来预测每个注视点的位置和持续时间。研究分析了所有在50像素以内且长于100毫秒的注视点。研究使用了一台性能良好的发电机供电。</w:t>
      </w:r>
    </w:p>
    <w:p>
      <w:pPr>
        <w:widowControl/>
        <w:spacing w:line="480" w:lineRule="exact"/>
        <w:ind w:firstLine="420" w:firstLineChars="0"/>
        <w:jc w:val="left"/>
        <w:rPr>
          <w:rFonts w:hint="eastAsia" w:ascii="宋体" w:hAnsi="宋体" w:cs="宋体"/>
          <w:color w:val="000000"/>
          <w:kern w:val="0"/>
          <w:szCs w:val="21"/>
        </w:rPr>
      </w:pPr>
      <w:r>
        <w:rPr>
          <w:rFonts w:hint="eastAsia" w:ascii="宋体" w:hAnsi="宋体" w:cs="宋体"/>
          <w:color w:val="000000"/>
          <w:kern w:val="0"/>
          <w:szCs w:val="21"/>
        </w:rPr>
        <w:t>研究人员使用Tobii Studio软件进行刺激材料的设置。使用自行编写的Matlab脚本来提取原始数据。通过这样操作，可以使每个刺激材料上的每幅图像定义为一个独立的兴趣区 (AOI)。使用此脚本对注视点的持续时间、注视点的数量和扫视路径进行了分析。研究人员将Matlab输出的结果导入到SPS数值计算软件中进行了统计分析。</w:t>
      </w:r>
    </w:p>
    <w:p>
      <w:pPr>
        <w:spacing w:line="480" w:lineRule="exact"/>
        <w:rPr>
          <w:rFonts w:hint="eastAsia" w:ascii="宋体" w:hAnsi="宋体"/>
          <w:b/>
          <w:szCs w:val="21"/>
        </w:rPr>
      </w:pPr>
    </w:p>
    <w:p>
      <w:pPr>
        <w:spacing w:line="480" w:lineRule="exact"/>
        <w:rPr>
          <w:rFonts w:hint="eastAsia" w:ascii="宋体" w:hAnsi="宋体"/>
          <w:b/>
          <w:szCs w:val="21"/>
        </w:rPr>
      </w:pPr>
      <w:r>
        <w:rPr>
          <w:rFonts w:hint="eastAsia" w:ascii="宋体" w:hAnsi="宋体"/>
          <w:b/>
          <w:szCs w:val="21"/>
        </w:rPr>
        <w:t>关于 “恐惧倾向”的新观点</w:t>
      </w:r>
    </w:p>
    <w:p>
      <w:pPr>
        <w:widowControl/>
        <w:spacing w:line="480" w:lineRule="exact"/>
        <w:ind w:firstLine="420" w:firstLineChars="0"/>
        <w:jc w:val="left"/>
        <w:rPr>
          <w:rFonts w:hint="eastAsia" w:ascii="宋体" w:hAnsi="宋体" w:cs="宋体"/>
          <w:color w:val="000000"/>
          <w:kern w:val="0"/>
          <w:szCs w:val="21"/>
        </w:rPr>
      </w:pPr>
      <w:r>
        <w:rPr>
          <w:rFonts w:hint="eastAsia" w:ascii="宋体" w:hAnsi="宋体" w:cs="宋体"/>
          <w:color w:val="000000"/>
          <w:kern w:val="0"/>
          <w:szCs w:val="21"/>
        </w:rPr>
        <w:t>研究人员衡量了两个不同对照组的注视时间和关注度。首先，对每个面部表情的平均关注率和持续时间与其他面部表情进行了对比（如恐惧的面孔分别与悲伤、高兴和中立面孔进行对比）。第二，对一个特别的面部表情的关注率和持续时间与其他面部表情一同进行了对比，如恐惧的面孔与其余所有表情整体的对比（悲伤、高兴与中立结合）。</w:t>
      </w:r>
    </w:p>
    <w:p>
      <w:pPr>
        <w:widowControl/>
        <w:spacing w:line="480" w:lineRule="exact"/>
        <w:ind w:firstLine="420" w:firstLineChars="0"/>
        <w:jc w:val="left"/>
        <w:rPr>
          <w:rFonts w:hint="eastAsia" w:ascii="宋体" w:hAnsi="宋体" w:cs="宋体"/>
          <w:color w:val="000000"/>
          <w:kern w:val="0"/>
          <w:szCs w:val="21"/>
        </w:rPr>
      </w:pPr>
      <w:r>
        <w:rPr>
          <w:rFonts w:hint="eastAsia" w:ascii="宋体" w:hAnsi="宋体" w:cs="宋体"/>
          <w:color w:val="000000"/>
          <w:kern w:val="0"/>
          <w:szCs w:val="21"/>
        </w:rPr>
        <w:t>对于第一组分析，研究人员发现德国的学龄前儿童和成年人以及两个文化群体中的小学生被试者对恐惧的面孔的观察频率和观察时间高于中立面孔。只有成年人对两种负面情绪做出了区分，对恐惧面孔的观察频率和持续时间高于悲伤的面孔。然而，对恐惧面孔的观察频率和持续时间要低于高兴面孔。在第二组分析中，与其他面孔整体相比，德国的儿童和成年人以及两个文化群族中的小学生被试者对恐惧面孔的观察频率更高，对中立面孔的观察频率较低，但其他对比中未发现差异。</w:t>
      </w:r>
    </w:p>
    <w:p>
      <w:pPr>
        <w:widowControl/>
        <w:spacing w:line="480" w:lineRule="exact"/>
        <w:ind w:firstLine="420" w:firstLineChars="0"/>
        <w:jc w:val="left"/>
      </w:pPr>
      <w:r>
        <w:rPr>
          <w:rFonts w:hint="eastAsia" w:ascii="宋体" w:hAnsi="宋体" w:cs="宋体"/>
          <w:color w:val="000000"/>
          <w:kern w:val="0"/>
          <w:szCs w:val="21"/>
        </w:rPr>
        <w:t>总体来说，研究结果表明，负面倾向的观点也许并不能够恰当地阐述对负面情绪的反应强于正向情绪的趋向，但由于悲伤的面孔获得的关注度较小，当提及“负面倾向”时，“恐惧倾向”也许对研究更有帮助。</w:t>
      </w:r>
    </w:p>
    <w:p>
      <w:pPr>
        <w:pStyle w:val="2"/>
      </w:pPr>
    </w:p>
    <w:p>
      <w:pPr>
        <w:pStyle w:val="2"/>
      </w:pPr>
    </w:p>
    <w:p>
      <w:pPr>
        <w:keepNext w:val="0"/>
        <w:keepLines w:val="0"/>
        <w:widowControl/>
        <w:numPr>
          <w:ilvl w:val="0"/>
          <w:numId w:val="0"/>
        </w:numPr>
        <w:suppressLineNumbers w:val="0"/>
        <w:jc w:val="left"/>
        <w:rPr>
          <w:rFonts w:hint="default" w:ascii="宋体" w:hAnsi="宋体" w:cs="宋体"/>
          <w:b/>
          <w:i w:val="0"/>
          <w:caps w:val="0"/>
          <w:color w:val="333333"/>
          <w:spacing w:val="0"/>
          <w:kern w:val="0"/>
          <w:sz w:val="24"/>
          <w:szCs w:val="24"/>
          <w:u w:val="none"/>
          <w:shd w:val="clear" w:fill="FFFFFF"/>
          <w:lang w:val="en-US" w:eastAsia="zh-CN" w:bidi="ar"/>
        </w:rPr>
      </w:pPr>
      <w:r>
        <w:rPr>
          <w:rFonts w:hint="eastAsia" w:ascii="宋体" w:hAnsi="宋体" w:cs="宋体"/>
          <w:b/>
          <w:i w:val="0"/>
          <w:caps w:val="0"/>
          <w:color w:val="333333"/>
          <w:spacing w:val="0"/>
          <w:kern w:val="0"/>
          <w:sz w:val="24"/>
          <w:szCs w:val="24"/>
          <w:u w:val="none"/>
          <w:shd w:val="clear" w:fill="FFFFFF"/>
          <w:lang w:val="en-US" w:eastAsia="zh-CN" w:bidi="ar"/>
        </w:rPr>
        <w:t>三、已购相关设备清单及各项设备具体技术参数</w:t>
      </w:r>
    </w:p>
    <w:p>
      <w:pPr>
        <w:pStyle w:val="2"/>
      </w:pPr>
    </w:p>
    <w:p>
      <w:pPr>
        <w:pStyle w:val="2"/>
      </w:pPr>
    </w:p>
    <w:tbl>
      <w:tblPr>
        <w:tblStyle w:val="4"/>
        <w:tblW w:w="8602" w:type="dxa"/>
        <w:jc w:val="center"/>
        <w:tblLayout w:type="autofit"/>
        <w:tblCellMar>
          <w:top w:w="0" w:type="dxa"/>
          <w:left w:w="108" w:type="dxa"/>
          <w:bottom w:w="0" w:type="dxa"/>
          <w:right w:w="108" w:type="dxa"/>
        </w:tblCellMar>
      </w:tblPr>
      <w:tblGrid>
        <w:gridCol w:w="636"/>
        <w:gridCol w:w="2769"/>
        <w:gridCol w:w="3399"/>
        <w:gridCol w:w="681"/>
        <w:gridCol w:w="1117"/>
      </w:tblGrid>
      <w:tr>
        <w:tblPrEx>
          <w:tblCellMar>
            <w:top w:w="0" w:type="dxa"/>
            <w:left w:w="108" w:type="dxa"/>
            <w:bottom w:w="0" w:type="dxa"/>
            <w:right w:w="108" w:type="dxa"/>
          </w:tblCellMar>
        </w:tblPrEx>
        <w:trPr>
          <w:trHeight w:val="549" w:hRule="atLeast"/>
          <w:jc w:val="center"/>
        </w:trPr>
        <w:tc>
          <w:tcPr>
            <w:tcW w:w="636" w:type="dxa"/>
            <w:tcBorders>
              <w:top w:val="single" w:color="auto" w:sz="8" w:space="0"/>
              <w:left w:val="single" w:color="auto" w:sz="8" w:space="0"/>
              <w:bottom w:val="single" w:color="auto" w:sz="8" w:space="0"/>
              <w:right w:val="single" w:color="auto" w:sz="4" w:space="0"/>
            </w:tcBorders>
            <w:noWrap w:val="0"/>
            <w:vAlign w:val="center"/>
          </w:tcPr>
          <w:p>
            <w:pPr>
              <w:widowControl/>
              <w:jc w:val="center"/>
              <w:rPr>
                <w:rFonts w:hint="eastAsia" w:ascii="宋体" w:hAnsi="宋体" w:cs="宋体"/>
                <w:kern w:val="0"/>
                <w:szCs w:val="21"/>
              </w:rPr>
            </w:pPr>
            <w:r>
              <w:rPr>
                <w:rFonts w:hint="eastAsia" w:ascii="宋体" w:hAnsi="宋体" w:cs="宋体"/>
                <w:kern w:val="0"/>
                <w:szCs w:val="21"/>
              </w:rPr>
              <w:t>序号</w:t>
            </w:r>
          </w:p>
        </w:tc>
        <w:tc>
          <w:tcPr>
            <w:tcW w:w="2769" w:type="dxa"/>
            <w:tcBorders>
              <w:top w:val="single" w:color="auto" w:sz="8" w:space="0"/>
              <w:left w:val="nil"/>
              <w:bottom w:val="single" w:color="auto" w:sz="8" w:space="0"/>
              <w:right w:val="single" w:color="auto" w:sz="4" w:space="0"/>
            </w:tcBorders>
            <w:noWrap w:val="0"/>
            <w:vAlign w:val="center"/>
          </w:tcPr>
          <w:p>
            <w:pPr>
              <w:widowControl/>
              <w:jc w:val="center"/>
              <w:rPr>
                <w:rFonts w:hint="eastAsia" w:ascii="宋体" w:hAnsi="宋体" w:cs="宋体"/>
                <w:kern w:val="0"/>
                <w:szCs w:val="21"/>
              </w:rPr>
            </w:pPr>
            <w:r>
              <w:rPr>
                <w:rFonts w:hint="eastAsia" w:ascii="宋体" w:hAnsi="宋体" w:cs="宋体"/>
                <w:kern w:val="0"/>
                <w:szCs w:val="21"/>
              </w:rPr>
              <w:t>设备名称</w:t>
            </w:r>
          </w:p>
        </w:tc>
        <w:tc>
          <w:tcPr>
            <w:tcW w:w="3399" w:type="dxa"/>
            <w:tcBorders>
              <w:top w:val="single" w:color="auto" w:sz="8" w:space="0"/>
              <w:left w:val="nil"/>
              <w:bottom w:val="single" w:color="auto" w:sz="8" w:space="0"/>
              <w:right w:val="single" w:color="auto" w:sz="4" w:space="0"/>
            </w:tcBorders>
            <w:noWrap w:val="0"/>
            <w:vAlign w:val="center"/>
          </w:tcPr>
          <w:p>
            <w:pPr>
              <w:widowControl/>
              <w:jc w:val="center"/>
              <w:rPr>
                <w:rFonts w:hint="eastAsia" w:ascii="宋体" w:hAnsi="宋体" w:cs="宋体"/>
                <w:kern w:val="0"/>
                <w:szCs w:val="21"/>
              </w:rPr>
            </w:pPr>
            <w:r>
              <w:rPr>
                <w:rFonts w:hint="eastAsia" w:ascii="宋体" w:hAnsi="宋体" w:cs="宋体"/>
                <w:kern w:val="0"/>
                <w:szCs w:val="21"/>
              </w:rPr>
              <w:t>品牌/规格型号</w:t>
            </w:r>
          </w:p>
        </w:tc>
        <w:tc>
          <w:tcPr>
            <w:tcW w:w="681" w:type="dxa"/>
            <w:tcBorders>
              <w:top w:val="single" w:color="auto" w:sz="8" w:space="0"/>
              <w:left w:val="nil"/>
              <w:bottom w:val="single" w:color="auto" w:sz="8" w:space="0"/>
              <w:right w:val="single" w:color="auto" w:sz="4" w:space="0"/>
            </w:tcBorders>
            <w:noWrap w:val="0"/>
            <w:vAlign w:val="center"/>
          </w:tcPr>
          <w:p>
            <w:pPr>
              <w:widowControl/>
              <w:jc w:val="center"/>
              <w:rPr>
                <w:rFonts w:hint="eastAsia" w:ascii="宋体" w:hAnsi="宋体" w:cs="宋体"/>
                <w:kern w:val="0"/>
                <w:szCs w:val="21"/>
              </w:rPr>
            </w:pPr>
            <w:r>
              <w:rPr>
                <w:rFonts w:hint="eastAsia" w:ascii="宋体" w:hAnsi="宋体" w:cs="宋体"/>
                <w:kern w:val="0"/>
                <w:szCs w:val="21"/>
              </w:rPr>
              <w:t>数量</w:t>
            </w:r>
          </w:p>
        </w:tc>
        <w:tc>
          <w:tcPr>
            <w:tcW w:w="1117" w:type="dxa"/>
            <w:tcBorders>
              <w:top w:val="single" w:color="auto" w:sz="8" w:space="0"/>
              <w:left w:val="nil"/>
              <w:bottom w:val="single" w:color="auto" w:sz="8" w:space="0"/>
              <w:right w:val="single" w:color="auto" w:sz="4" w:space="0"/>
            </w:tcBorders>
            <w:noWrap w:val="0"/>
            <w:vAlign w:val="center"/>
          </w:tcPr>
          <w:p>
            <w:pPr>
              <w:widowControl/>
              <w:jc w:val="center"/>
              <w:rPr>
                <w:rFonts w:hint="eastAsia" w:ascii="宋体" w:hAnsi="宋体" w:cs="宋体"/>
                <w:kern w:val="0"/>
                <w:szCs w:val="21"/>
              </w:rPr>
            </w:pPr>
            <w:r>
              <w:rPr>
                <w:rFonts w:hint="eastAsia" w:ascii="宋体" w:hAnsi="宋体" w:cs="宋体"/>
                <w:kern w:val="0"/>
                <w:szCs w:val="21"/>
              </w:rPr>
              <w:t>单价</w:t>
            </w:r>
          </w:p>
          <w:p>
            <w:pPr>
              <w:widowControl/>
              <w:jc w:val="center"/>
              <w:rPr>
                <w:rFonts w:hint="eastAsia" w:ascii="宋体" w:hAnsi="宋体" w:cs="宋体"/>
                <w:kern w:val="0"/>
                <w:szCs w:val="21"/>
              </w:rPr>
            </w:pPr>
            <w:r>
              <w:rPr>
                <w:rFonts w:hint="eastAsia" w:ascii="宋体" w:hAnsi="宋体" w:cs="宋体"/>
                <w:kern w:val="0"/>
                <w:szCs w:val="21"/>
              </w:rPr>
              <w:t>（元）</w:t>
            </w:r>
          </w:p>
        </w:tc>
      </w:tr>
      <w:tr>
        <w:tblPrEx>
          <w:tblCellMar>
            <w:top w:w="0" w:type="dxa"/>
            <w:left w:w="108" w:type="dxa"/>
            <w:bottom w:w="0" w:type="dxa"/>
            <w:right w:w="108" w:type="dxa"/>
          </w:tblCellMar>
        </w:tblPrEx>
        <w:trPr>
          <w:trHeight w:val="681" w:hRule="atLeast"/>
          <w:jc w:val="center"/>
        </w:trPr>
        <w:tc>
          <w:tcPr>
            <w:tcW w:w="636" w:type="dxa"/>
            <w:tcBorders>
              <w:top w:val="single" w:color="auto" w:sz="8" w:space="0"/>
              <w:left w:val="single" w:color="auto" w:sz="8" w:space="0"/>
              <w:bottom w:val="single" w:color="auto" w:sz="4" w:space="0"/>
              <w:right w:val="single" w:color="auto" w:sz="4" w:space="0"/>
            </w:tcBorders>
            <w:noWrap w:val="0"/>
            <w:vAlign w:val="center"/>
          </w:tcPr>
          <w:p>
            <w:pPr>
              <w:tabs>
                <w:tab w:val="left" w:pos="1418"/>
              </w:tabs>
              <w:snapToGrid w:val="0"/>
              <w:spacing w:before="50" w:after="50"/>
              <w:jc w:val="center"/>
              <w:rPr>
                <w:rFonts w:hint="eastAsia" w:ascii="宋体" w:hAnsi="宋体" w:cs="宋体"/>
                <w:spacing w:val="20"/>
                <w:szCs w:val="21"/>
                <w:lang w:bidi="ar"/>
              </w:rPr>
            </w:pPr>
            <w:r>
              <w:rPr>
                <w:rFonts w:hint="eastAsia" w:ascii="宋体" w:hAnsi="宋体" w:cs="宋体"/>
                <w:b/>
                <w:bCs/>
                <w:spacing w:val="20"/>
                <w:szCs w:val="21"/>
                <w:lang w:bidi="ar"/>
              </w:rPr>
              <w:t>3</w:t>
            </w:r>
          </w:p>
        </w:tc>
        <w:tc>
          <w:tcPr>
            <w:tcW w:w="2769" w:type="dxa"/>
            <w:tcBorders>
              <w:top w:val="single" w:color="auto" w:sz="8" w:space="0"/>
              <w:left w:val="nil"/>
              <w:bottom w:val="single" w:color="auto" w:sz="4" w:space="0"/>
              <w:right w:val="single" w:color="auto" w:sz="4" w:space="0"/>
            </w:tcBorders>
            <w:noWrap w:val="0"/>
            <w:vAlign w:val="center"/>
          </w:tcPr>
          <w:p>
            <w:pPr>
              <w:spacing w:line="300" w:lineRule="auto"/>
              <w:jc w:val="center"/>
              <w:rPr>
                <w:rFonts w:hint="eastAsia" w:ascii="宋体" w:hAnsi="宋体" w:cs="宋体"/>
                <w:szCs w:val="21"/>
              </w:rPr>
            </w:pPr>
            <w:r>
              <w:rPr>
                <w:rFonts w:hint="eastAsia" w:ascii="宋体" w:hAnsi="宋体" w:cs="宋体"/>
                <w:b/>
                <w:bCs/>
                <w:szCs w:val="21"/>
              </w:rPr>
              <w:t>屏幕遥测式眼动仪</w:t>
            </w:r>
          </w:p>
        </w:tc>
        <w:tc>
          <w:tcPr>
            <w:tcW w:w="3399" w:type="dxa"/>
            <w:tcBorders>
              <w:top w:val="single" w:color="auto" w:sz="8" w:space="0"/>
              <w:left w:val="nil"/>
              <w:bottom w:val="single" w:color="auto" w:sz="4" w:space="0"/>
              <w:right w:val="single" w:color="auto" w:sz="4" w:space="0"/>
            </w:tcBorders>
            <w:noWrap w:val="0"/>
            <w:vAlign w:val="center"/>
          </w:tcPr>
          <w:p>
            <w:pPr>
              <w:tabs>
                <w:tab w:val="left" w:pos="1418"/>
              </w:tabs>
              <w:snapToGrid w:val="0"/>
              <w:spacing w:before="50" w:after="50"/>
              <w:jc w:val="center"/>
              <w:rPr>
                <w:rFonts w:hint="eastAsia" w:ascii="宋体" w:hAnsi="宋体" w:cs="宋体"/>
                <w:szCs w:val="21"/>
              </w:rPr>
            </w:pPr>
            <w:r>
              <w:rPr>
                <w:rFonts w:hint="eastAsia" w:ascii="宋体" w:hAnsi="宋体" w:cs="宋体"/>
                <w:spacing w:val="20"/>
                <w:szCs w:val="21"/>
              </w:rPr>
              <w:t>Tobii/</w:t>
            </w:r>
            <w:r>
              <w:rPr>
                <w:rFonts w:hint="eastAsia" w:ascii="宋体" w:hAnsi="宋体" w:cs="宋体"/>
                <w:szCs w:val="21"/>
              </w:rPr>
              <w:t>Tobii Pro X3-120</w:t>
            </w:r>
          </w:p>
        </w:tc>
        <w:tc>
          <w:tcPr>
            <w:tcW w:w="681" w:type="dxa"/>
            <w:tcBorders>
              <w:top w:val="single" w:color="auto" w:sz="8" w:space="0"/>
              <w:left w:val="nil"/>
              <w:bottom w:val="single" w:color="auto" w:sz="4" w:space="0"/>
              <w:right w:val="single" w:color="auto" w:sz="4" w:space="0"/>
            </w:tcBorders>
            <w:noWrap w:val="0"/>
            <w:vAlign w:val="center"/>
          </w:tcPr>
          <w:p>
            <w:pPr>
              <w:snapToGrid w:val="0"/>
              <w:spacing w:before="50" w:after="50"/>
              <w:jc w:val="center"/>
              <w:rPr>
                <w:rFonts w:hint="eastAsia" w:ascii="宋体" w:hAnsi="宋体" w:cs="宋体"/>
                <w:spacing w:val="20"/>
                <w:szCs w:val="21"/>
              </w:rPr>
            </w:pPr>
            <w:r>
              <w:rPr>
                <w:rFonts w:hint="eastAsia" w:ascii="宋体" w:hAnsi="宋体" w:cs="宋体"/>
                <w:spacing w:val="20"/>
                <w:szCs w:val="21"/>
              </w:rPr>
              <w:t>2套</w:t>
            </w:r>
          </w:p>
        </w:tc>
        <w:tc>
          <w:tcPr>
            <w:tcW w:w="1117" w:type="dxa"/>
            <w:tcBorders>
              <w:top w:val="single" w:color="auto" w:sz="8" w:space="0"/>
              <w:left w:val="nil"/>
              <w:bottom w:val="single" w:color="auto" w:sz="4" w:space="0"/>
              <w:right w:val="single" w:color="auto" w:sz="4" w:space="0"/>
            </w:tcBorders>
            <w:noWrap w:val="0"/>
            <w:vAlign w:val="center"/>
          </w:tcPr>
          <w:p>
            <w:pPr>
              <w:jc w:val="center"/>
              <w:rPr>
                <w:rFonts w:hint="eastAsia" w:ascii="宋体" w:hAnsi="宋体" w:cs="宋体"/>
                <w:szCs w:val="21"/>
              </w:rPr>
            </w:pPr>
            <w:r>
              <w:rPr>
                <w:rFonts w:hint="eastAsia" w:ascii="宋体" w:hAnsi="宋体" w:cs="宋体"/>
                <w:szCs w:val="21"/>
              </w:rPr>
              <w:t>200000</w:t>
            </w:r>
          </w:p>
        </w:tc>
      </w:tr>
      <w:tr>
        <w:tblPrEx>
          <w:tblCellMar>
            <w:top w:w="0" w:type="dxa"/>
            <w:left w:w="108" w:type="dxa"/>
            <w:bottom w:w="0" w:type="dxa"/>
            <w:right w:w="108" w:type="dxa"/>
          </w:tblCellMar>
        </w:tblPrEx>
        <w:trPr>
          <w:trHeight w:val="681" w:hRule="atLeast"/>
          <w:jc w:val="center"/>
        </w:trPr>
        <w:tc>
          <w:tcPr>
            <w:tcW w:w="636" w:type="dxa"/>
            <w:tcBorders>
              <w:top w:val="single" w:color="auto" w:sz="8" w:space="0"/>
              <w:left w:val="single" w:color="auto" w:sz="8" w:space="0"/>
              <w:bottom w:val="single" w:color="auto" w:sz="4" w:space="0"/>
              <w:right w:val="single" w:color="auto" w:sz="4" w:space="0"/>
            </w:tcBorders>
            <w:noWrap w:val="0"/>
            <w:vAlign w:val="center"/>
          </w:tcPr>
          <w:p>
            <w:pPr>
              <w:tabs>
                <w:tab w:val="left" w:pos="1418"/>
              </w:tabs>
              <w:snapToGrid w:val="0"/>
              <w:spacing w:before="50" w:after="50"/>
              <w:jc w:val="center"/>
              <w:rPr>
                <w:rFonts w:hint="eastAsia" w:ascii="宋体" w:hAnsi="宋体" w:cs="宋体"/>
                <w:spacing w:val="20"/>
                <w:szCs w:val="21"/>
                <w:lang w:bidi="ar"/>
              </w:rPr>
            </w:pPr>
            <w:r>
              <w:rPr>
                <w:rFonts w:hint="eastAsia" w:ascii="宋体" w:hAnsi="宋体" w:cs="宋体"/>
                <w:spacing w:val="20"/>
                <w:szCs w:val="21"/>
                <w:lang w:bidi="ar"/>
              </w:rPr>
              <w:t>3-1</w:t>
            </w:r>
          </w:p>
        </w:tc>
        <w:tc>
          <w:tcPr>
            <w:tcW w:w="2769" w:type="dxa"/>
            <w:tcBorders>
              <w:top w:val="single" w:color="auto" w:sz="8" w:space="0"/>
              <w:left w:val="nil"/>
              <w:bottom w:val="single" w:color="auto" w:sz="4" w:space="0"/>
              <w:right w:val="single" w:color="auto" w:sz="4" w:space="0"/>
            </w:tcBorders>
            <w:noWrap w:val="0"/>
            <w:vAlign w:val="center"/>
          </w:tcPr>
          <w:p>
            <w:pPr>
              <w:spacing w:line="300" w:lineRule="auto"/>
              <w:jc w:val="center"/>
              <w:rPr>
                <w:rFonts w:hint="eastAsia" w:ascii="宋体" w:hAnsi="宋体" w:cs="宋体"/>
                <w:szCs w:val="21"/>
              </w:rPr>
            </w:pPr>
            <w:r>
              <w:rPr>
                <w:rFonts w:hint="eastAsia" w:ascii="宋体" w:hAnsi="宋体" w:cs="宋体"/>
                <w:szCs w:val="21"/>
              </w:rPr>
              <w:t>屏幕遥测式眼动仪主机</w:t>
            </w:r>
          </w:p>
        </w:tc>
        <w:tc>
          <w:tcPr>
            <w:tcW w:w="3399" w:type="dxa"/>
            <w:tcBorders>
              <w:top w:val="single" w:color="auto" w:sz="8" w:space="0"/>
              <w:left w:val="nil"/>
              <w:bottom w:val="single" w:color="auto" w:sz="4" w:space="0"/>
              <w:right w:val="single" w:color="auto" w:sz="4" w:space="0"/>
            </w:tcBorders>
            <w:noWrap w:val="0"/>
            <w:vAlign w:val="center"/>
          </w:tcPr>
          <w:p>
            <w:pPr>
              <w:snapToGrid w:val="0"/>
              <w:spacing w:before="50" w:after="50"/>
              <w:jc w:val="center"/>
              <w:rPr>
                <w:rFonts w:hint="eastAsia" w:ascii="宋体" w:hAnsi="宋体" w:cs="宋体"/>
                <w:spacing w:val="20"/>
                <w:szCs w:val="21"/>
              </w:rPr>
            </w:pPr>
            <w:r>
              <w:rPr>
                <w:rFonts w:hint="eastAsia" w:ascii="宋体" w:hAnsi="宋体" w:cs="宋体"/>
                <w:spacing w:val="20"/>
                <w:szCs w:val="21"/>
              </w:rPr>
              <w:t>Tobii/</w:t>
            </w:r>
            <w:r>
              <w:rPr>
                <w:rFonts w:hint="eastAsia" w:ascii="宋体" w:hAnsi="宋体" w:cs="宋体"/>
                <w:szCs w:val="21"/>
              </w:rPr>
              <w:t>Tobii Pro X3-120</w:t>
            </w:r>
          </w:p>
        </w:tc>
        <w:tc>
          <w:tcPr>
            <w:tcW w:w="681" w:type="dxa"/>
            <w:tcBorders>
              <w:top w:val="single" w:color="auto" w:sz="8" w:space="0"/>
              <w:left w:val="nil"/>
              <w:bottom w:val="single" w:color="auto" w:sz="4" w:space="0"/>
              <w:right w:val="single" w:color="auto" w:sz="4" w:space="0"/>
            </w:tcBorders>
            <w:noWrap w:val="0"/>
            <w:vAlign w:val="center"/>
          </w:tcPr>
          <w:p>
            <w:pPr>
              <w:tabs>
                <w:tab w:val="left" w:pos="1418"/>
              </w:tabs>
              <w:snapToGrid w:val="0"/>
              <w:spacing w:before="50" w:after="50"/>
              <w:jc w:val="center"/>
              <w:rPr>
                <w:rFonts w:hint="eastAsia" w:ascii="宋体" w:hAnsi="宋体" w:cs="宋体"/>
                <w:spacing w:val="20"/>
                <w:szCs w:val="21"/>
              </w:rPr>
            </w:pPr>
            <w:r>
              <w:rPr>
                <w:rFonts w:hint="eastAsia" w:ascii="宋体" w:hAnsi="宋体" w:cs="宋体"/>
                <w:spacing w:val="20"/>
                <w:szCs w:val="21"/>
              </w:rPr>
              <w:t>2套</w:t>
            </w:r>
          </w:p>
        </w:tc>
        <w:tc>
          <w:tcPr>
            <w:tcW w:w="1117" w:type="dxa"/>
            <w:tcBorders>
              <w:top w:val="single" w:color="auto" w:sz="8" w:space="0"/>
              <w:left w:val="nil"/>
              <w:bottom w:val="single" w:color="auto" w:sz="4" w:space="0"/>
              <w:right w:val="single" w:color="auto" w:sz="4" w:space="0"/>
            </w:tcBorders>
            <w:noWrap w:val="0"/>
            <w:vAlign w:val="center"/>
          </w:tcPr>
          <w:p>
            <w:pPr>
              <w:jc w:val="center"/>
              <w:rPr>
                <w:rFonts w:hint="eastAsia" w:ascii="宋体" w:hAnsi="宋体" w:cs="宋体"/>
                <w:szCs w:val="21"/>
              </w:rPr>
            </w:pPr>
            <w:r>
              <w:rPr>
                <w:rFonts w:hint="eastAsia" w:ascii="宋体" w:hAnsi="宋体" w:cs="宋体"/>
                <w:szCs w:val="21"/>
              </w:rPr>
              <w:t>150000</w:t>
            </w:r>
          </w:p>
        </w:tc>
      </w:tr>
      <w:tr>
        <w:tblPrEx>
          <w:tblCellMar>
            <w:top w:w="0" w:type="dxa"/>
            <w:left w:w="108" w:type="dxa"/>
            <w:bottom w:w="0" w:type="dxa"/>
            <w:right w:w="108" w:type="dxa"/>
          </w:tblCellMar>
        </w:tblPrEx>
        <w:trPr>
          <w:trHeight w:val="367" w:hRule="atLeast"/>
          <w:jc w:val="center"/>
        </w:trPr>
        <w:tc>
          <w:tcPr>
            <w:tcW w:w="636" w:type="dxa"/>
            <w:tcBorders>
              <w:top w:val="single" w:color="auto" w:sz="8" w:space="0"/>
              <w:left w:val="single" w:color="auto" w:sz="8" w:space="0"/>
              <w:bottom w:val="single" w:color="auto" w:sz="4" w:space="0"/>
              <w:right w:val="single" w:color="auto" w:sz="4" w:space="0"/>
            </w:tcBorders>
            <w:noWrap w:val="0"/>
            <w:vAlign w:val="center"/>
          </w:tcPr>
          <w:p>
            <w:pPr>
              <w:tabs>
                <w:tab w:val="left" w:pos="1418"/>
              </w:tabs>
              <w:snapToGrid w:val="0"/>
              <w:spacing w:before="50" w:after="50"/>
              <w:jc w:val="center"/>
              <w:rPr>
                <w:rFonts w:hint="eastAsia" w:ascii="宋体" w:hAnsi="宋体" w:cs="宋体"/>
                <w:spacing w:val="20"/>
                <w:szCs w:val="21"/>
                <w:lang w:bidi="ar"/>
              </w:rPr>
            </w:pPr>
            <w:r>
              <w:rPr>
                <w:rFonts w:hint="eastAsia" w:ascii="宋体" w:hAnsi="宋体" w:cs="宋体"/>
                <w:spacing w:val="20"/>
                <w:szCs w:val="21"/>
                <w:lang w:bidi="ar"/>
              </w:rPr>
              <w:t>3-2</w:t>
            </w:r>
          </w:p>
        </w:tc>
        <w:tc>
          <w:tcPr>
            <w:tcW w:w="2769" w:type="dxa"/>
            <w:tcBorders>
              <w:top w:val="single" w:color="auto" w:sz="8" w:space="0"/>
              <w:left w:val="nil"/>
              <w:bottom w:val="single" w:color="auto" w:sz="4" w:space="0"/>
              <w:right w:val="single" w:color="auto" w:sz="4" w:space="0"/>
            </w:tcBorders>
            <w:noWrap w:val="0"/>
            <w:vAlign w:val="center"/>
          </w:tcPr>
          <w:p>
            <w:pPr>
              <w:spacing w:line="300" w:lineRule="auto"/>
              <w:jc w:val="center"/>
              <w:rPr>
                <w:rFonts w:hint="eastAsia" w:ascii="宋体" w:hAnsi="宋体" w:cs="宋体"/>
                <w:szCs w:val="21"/>
              </w:rPr>
            </w:pPr>
            <w:r>
              <w:rPr>
                <w:rFonts w:hint="eastAsia" w:ascii="宋体" w:hAnsi="宋体" w:cs="宋体"/>
                <w:szCs w:val="21"/>
              </w:rPr>
              <w:t>采集分析软件</w:t>
            </w:r>
          </w:p>
        </w:tc>
        <w:tc>
          <w:tcPr>
            <w:tcW w:w="3399" w:type="dxa"/>
            <w:tcBorders>
              <w:top w:val="single" w:color="auto" w:sz="8" w:space="0"/>
              <w:left w:val="nil"/>
              <w:bottom w:val="single" w:color="auto" w:sz="4" w:space="0"/>
              <w:right w:val="single" w:color="auto" w:sz="4" w:space="0"/>
            </w:tcBorders>
            <w:noWrap w:val="0"/>
            <w:vAlign w:val="center"/>
          </w:tcPr>
          <w:p>
            <w:pPr>
              <w:snapToGrid w:val="0"/>
              <w:spacing w:before="50" w:after="50"/>
              <w:jc w:val="center"/>
              <w:rPr>
                <w:rFonts w:hint="eastAsia" w:ascii="宋体" w:hAnsi="宋体" w:cs="宋体"/>
                <w:spacing w:val="20"/>
                <w:szCs w:val="21"/>
              </w:rPr>
            </w:pPr>
            <w:r>
              <w:rPr>
                <w:rFonts w:hint="eastAsia" w:ascii="宋体" w:hAnsi="宋体" w:cs="宋体"/>
                <w:spacing w:val="20"/>
                <w:szCs w:val="21"/>
              </w:rPr>
              <w:t>Tobii/</w:t>
            </w:r>
            <w:r>
              <w:rPr>
                <w:rFonts w:hint="eastAsia" w:ascii="宋体" w:hAnsi="宋体" w:cs="宋体"/>
                <w:szCs w:val="21"/>
              </w:rPr>
              <w:t>Tobii Pro Lab</w:t>
            </w:r>
          </w:p>
        </w:tc>
        <w:tc>
          <w:tcPr>
            <w:tcW w:w="681" w:type="dxa"/>
            <w:tcBorders>
              <w:top w:val="single" w:color="auto" w:sz="8" w:space="0"/>
              <w:left w:val="nil"/>
              <w:bottom w:val="single" w:color="auto" w:sz="4" w:space="0"/>
              <w:right w:val="single" w:color="auto" w:sz="4" w:space="0"/>
            </w:tcBorders>
            <w:noWrap w:val="0"/>
            <w:vAlign w:val="center"/>
          </w:tcPr>
          <w:p>
            <w:pPr>
              <w:snapToGrid w:val="0"/>
              <w:spacing w:before="50" w:after="50"/>
              <w:jc w:val="center"/>
              <w:rPr>
                <w:rFonts w:hint="eastAsia" w:ascii="宋体" w:hAnsi="宋体" w:cs="宋体"/>
                <w:spacing w:val="20"/>
                <w:szCs w:val="21"/>
              </w:rPr>
            </w:pPr>
            <w:r>
              <w:rPr>
                <w:rFonts w:hint="eastAsia" w:ascii="宋体" w:hAnsi="宋体" w:cs="宋体"/>
                <w:spacing w:val="20"/>
                <w:szCs w:val="21"/>
              </w:rPr>
              <w:t>2套</w:t>
            </w:r>
          </w:p>
        </w:tc>
        <w:tc>
          <w:tcPr>
            <w:tcW w:w="1117" w:type="dxa"/>
            <w:tcBorders>
              <w:top w:val="single" w:color="auto" w:sz="8" w:space="0"/>
              <w:left w:val="nil"/>
              <w:bottom w:val="single" w:color="auto" w:sz="4" w:space="0"/>
              <w:right w:val="single" w:color="auto" w:sz="4" w:space="0"/>
            </w:tcBorders>
            <w:noWrap w:val="0"/>
            <w:vAlign w:val="center"/>
          </w:tcPr>
          <w:p>
            <w:pPr>
              <w:jc w:val="center"/>
              <w:rPr>
                <w:rFonts w:hint="eastAsia" w:ascii="宋体" w:hAnsi="宋体" w:cs="宋体"/>
                <w:szCs w:val="21"/>
              </w:rPr>
            </w:pPr>
            <w:r>
              <w:rPr>
                <w:rFonts w:hint="eastAsia" w:ascii="宋体" w:hAnsi="宋体" w:cs="宋体"/>
                <w:szCs w:val="21"/>
              </w:rPr>
              <w:t>49000</w:t>
            </w:r>
          </w:p>
        </w:tc>
      </w:tr>
      <w:tr>
        <w:tblPrEx>
          <w:tblCellMar>
            <w:top w:w="0" w:type="dxa"/>
            <w:left w:w="108" w:type="dxa"/>
            <w:bottom w:w="0" w:type="dxa"/>
            <w:right w:w="108" w:type="dxa"/>
          </w:tblCellMar>
        </w:tblPrEx>
        <w:trPr>
          <w:trHeight w:val="681" w:hRule="atLeast"/>
          <w:jc w:val="center"/>
        </w:trPr>
        <w:tc>
          <w:tcPr>
            <w:tcW w:w="636" w:type="dxa"/>
            <w:tcBorders>
              <w:top w:val="single" w:color="auto" w:sz="8" w:space="0"/>
              <w:left w:val="single" w:color="auto" w:sz="8" w:space="0"/>
              <w:bottom w:val="single" w:color="auto" w:sz="4" w:space="0"/>
              <w:right w:val="single" w:color="auto" w:sz="4" w:space="0"/>
            </w:tcBorders>
            <w:noWrap w:val="0"/>
            <w:vAlign w:val="center"/>
          </w:tcPr>
          <w:p>
            <w:pPr>
              <w:tabs>
                <w:tab w:val="left" w:pos="1418"/>
              </w:tabs>
              <w:snapToGrid w:val="0"/>
              <w:spacing w:before="50" w:after="50"/>
              <w:jc w:val="center"/>
              <w:rPr>
                <w:rFonts w:hint="eastAsia" w:ascii="宋体" w:hAnsi="宋体" w:cs="宋体"/>
                <w:spacing w:val="20"/>
                <w:szCs w:val="21"/>
                <w:lang w:bidi="ar"/>
              </w:rPr>
            </w:pPr>
            <w:r>
              <w:rPr>
                <w:rFonts w:hint="eastAsia" w:ascii="宋体" w:hAnsi="宋体" w:cs="宋体"/>
                <w:spacing w:val="20"/>
                <w:szCs w:val="21"/>
                <w:lang w:bidi="ar"/>
              </w:rPr>
              <w:t>3-3</w:t>
            </w:r>
          </w:p>
        </w:tc>
        <w:tc>
          <w:tcPr>
            <w:tcW w:w="2769" w:type="dxa"/>
            <w:tcBorders>
              <w:top w:val="single" w:color="auto" w:sz="8" w:space="0"/>
              <w:left w:val="nil"/>
              <w:bottom w:val="single" w:color="auto" w:sz="4" w:space="0"/>
              <w:right w:val="single" w:color="auto" w:sz="4" w:space="0"/>
            </w:tcBorders>
            <w:noWrap w:val="0"/>
            <w:vAlign w:val="center"/>
          </w:tcPr>
          <w:p>
            <w:pPr>
              <w:spacing w:line="300" w:lineRule="auto"/>
              <w:jc w:val="center"/>
              <w:rPr>
                <w:rFonts w:hint="eastAsia" w:ascii="宋体" w:hAnsi="宋体" w:cs="宋体"/>
                <w:b/>
                <w:szCs w:val="21"/>
              </w:rPr>
            </w:pPr>
            <w:r>
              <w:rPr>
                <w:rFonts w:hint="eastAsia" w:ascii="宋体" w:hAnsi="宋体" w:cs="宋体"/>
                <w:szCs w:val="21"/>
              </w:rPr>
              <w:t>配套眼动同步装置系统</w:t>
            </w:r>
          </w:p>
        </w:tc>
        <w:tc>
          <w:tcPr>
            <w:tcW w:w="3399" w:type="dxa"/>
            <w:tcBorders>
              <w:top w:val="single" w:color="auto" w:sz="8" w:space="0"/>
              <w:left w:val="nil"/>
              <w:bottom w:val="single" w:color="auto" w:sz="4" w:space="0"/>
              <w:right w:val="single" w:color="auto" w:sz="4" w:space="0"/>
            </w:tcBorders>
            <w:noWrap w:val="0"/>
            <w:vAlign w:val="center"/>
          </w:tcPr>
          <w:p>
            <w:pPr>
              <w:tabs>
                <w:tab w:val="left" w:pos="1418"/>
              </w:tabs>
              <w:snapToGrid w:val="0"/>
              <w:spacing w:before="50" w:after="50"/>
              <w:jc w:val="center"/>
              <w:rPr>
                <w:rFonts w:hint="eastAsia" w:ascii="宋体" w:hAnsi="宋体" w:cs="宋体"/>
                <w:spacing w:val="20"/>
                <w:szCs w:val="21"/>
              </w:rPr>
            </w:pPr>
            <w:r>
              <w:rPr>
                <w:rFonts w:hint="eastAsia" w:ascii="宋体" w:hAnsi="宋体" w:cs="宋体"/>
                <w:szCs w:val="21"/>
              </w:rPr>
              <w:t>Psytech/Psytech TB</w:t>
            </w:r>
          </w:p>
        </w:tc>
        <w:tc>
          <w:tcPr>
            <w:tcW w:w="681" w:type="dxa"/>
            <w:tcBorders>
              <w:top w:val="single" w:color="auto" w:sz="8" w:space="0"/>
              <w:left w:val="nil"/>
              <w:bottom w:val="single" w:color="auto" w:sz="4" w:space="0"/>
              <w:right w:val="single" w:color="auto" w:sz="4" w:space="0"/>
            </w:tcBorders>
            <w:noWrap w:val="0"/>
            <w:vAlign w:val="center"/>
          </w:tcPr>
          <w:p>
            <w:pPr>
              <w:snapToGrid w:val="0"/>
              <w:spacing w:before="50" w:after="50"/>
              <w:jc w:val="center"/>
              <w:rPr>
                <w:rFonts w:hint="eastAsia" w:ascii="宋体" w:hAnsi="宋体" w:cs="宋体"/>
                <w:spacing w:val="20"/>
                <w:szCs w:val="21"/>
              </w:rPr>
            </w:pPr>
            <w:r>
              <w:rPr>
                <w:rFonts w:hint="eastAsia" w:ascii="宋体" w:hAnsi="宋体" w:cs="宋体"/>
                <w:spacing w:val="20"/>
                <w:szCs w:val="21"/>
              </w:rPr>
              <w:t>2套</w:t>
            </w:r>
          </w:p>
        </w:tc>
        <w:tc>
          <w:tcPr>
            <w:tcW w:w="1117" w:type="dxa"/>
            <w:tcBorders>
              <w:top w:val="single" w:color="auto" w:sz="8" w:space="0"/>
              <w:left w:val="nil"/>
              <w:bottom w:val="single" w:color="auto" w:sz="4" w:space="0"/>
              <w:right w:val="single" w:color="auto" w:sz="4" w:space="0"/>
            </w:tcBorders>
            <w:noWrap w:val="0"/>
            <w:vAlign w:val="center"/>
          </w:tcPr>
          <w:p>
            <w:pPr>
              <w:jc w:val="center"/>
              <w:rPr>
                <w:rFonts w:hint="eastAsia" w:ascii="宋体" w:hAnsi="宋体" w:cs="宋体"/>
                <w:szCs w:val="21"/>
              </w:rPr>
            </w:pPr>
            <w:r>
              <w:rPr>
                <w:rFonts w:hint="eastAsia" w:ascii="宋体" w:hAnsi="宋体" w:cs="宋体"/>
                <w:szCs w:val="21"/>
              </w:rPr>
              <w:t>1000</w:t>
            </w:r>
          </w:p>
        </w:tc>
      </w:tr>
    </w:tbl>
    <w:p>
      <w:pPr>
        <w:pStyle w:val="2"/>
      </w:pPr>
    </w:p>
    <w:p>
      <w:pPr>
        <w:pStyle w:val="2"/>
      </w:pPr>
    </w:p>
    <w:tbl>
      <w:tblPr>
        <w:tblStyle w:val="4"/>
        <w:tblW w:w="92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1"/>
        <w:gridCol w:w="84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 w:hRule="atLeast"/>
          <w:jc w:val="center"/>
        </w:trPr>
        <w:tc>
          <w:tcPr>
            <w:tcW w:w="81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s="宋体"/>
                <w:b/>
                <w:bCs/>
                <w:sz w:val="24"/>
              </w:rPr>
            </w:pPr>
            <w:r>
              <w:rPr>
                <w:rFonts w:hint="eastAsia" w:ascii="宋体" w:hAnsi="宋体" w:cs="宋体"/>
                <w:b/>
                <w:bCs/>
                <w:sz w:val="24"/>
              </w:rPr>
              <w:t>序号</w:t>
            </w:r>
          </w:p>
        </w:tc>
        <w:tc>
          <w:tcPr>
            <w:tcW w:w="8428"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s="宋体"/>
                <w:b/>
                <w:bCs/>
                <w:sz w:val="24"/>
              </w:rPr>
            </w:pPr>
            <w:r>
              <w:rPr>
                <w:rFonts w:hint="eastAsia" w:ascii="宋体" w:hAnsi="宋体" w:cs="宋体"/>
                <w:b/>
                <w:bCs/>
                <w:sz w:val="24"/>
              </w:rPr>
              <w:t>技术参数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jc w:val="center"/>
        </w:trPr>
        <w:tc>
          <w:tcPr>
            <w:tcW w:w="81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s="宋体"/>
                <w:szCs w:val="21"/>
              </w:rPr>
            </w:pPr>
            <w:r>
              <w:rPr>
                <w:rFonts w:hint="eastAsia" w:ascii="宋体" w:hAnsi="宋体" w:cs="宋体"/>
                <w:szCs w:val="21"/>
              </w:rPr>
              <w:t>81</w:t>
            </w:r>
          </w:p>
        </w:tc>
        <w:tc>
          <w:tcPr>
            <w:tcW w:w="8428"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cs="宋体"/>
                <w:b/>
                <w:bCs/>
                <w:szCs w:val="21"/>
              </w:rPr>
            </w:pPr>
            <w:r>
              <w:rPr>
                <w:rFonts w:hint="eastAsia" w:ascii="宋体" w:hAnsi="宋体" w:cs="宋体"/>
                <w:b/>
                <w:bCs/>
                <w:szCs w:val="21"/>
              </w:rPr>
              <w:t>屏幕遥测式眼动仪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jc w:val="center"/>
        </w:trPr>
        <w:tc>
          <w:tcPr>
            <w:tcW w:w="81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s="宋体"/>
                <w:szCs w:val="21"/>
              </w:rPr>
            </w:pPr>
            <w:r>
              <w:rPr>
                <w:rFonts w:hint="eastAsia" w:ascii="宋体" w:hAnsi="宋体" w:cs="宋体"/>
                <w:szCs w:val="21"/>
              </w:rPr>
              <w:t>82</w:t>
            </w:r>
          </w:p>
        </w:tc>
        <w:tc>
          <w:tcPr>
            <w:tcW w:w="8428"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cs="宋体"/>
                <w:b/>
                <w:bCs/>
                <w:szCs w:val="21"/>
              </w:rPr>
            </w:pPr>
            <w:r>
              <w:rPr>
                <w:rFonts w:hint="eastAsia" w:ascii="宋体" w:hAnsi="宋体" w:cs="宋体"/>
                <w:b/>
                <w:bCs/>
                <w:szCs w:val="21"/>
              </w:rPr>
              <w:t>一、硬件参数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jc w:val="center"/>
        </w:trPr>
        <w:tc>
          <w:tcPr>
            <w:tcW w:w="81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s="宋体"/>
                <w:szCs w:val="21"/>
              </w:rPr>
            </w:pPr>
            <w:r>
              <w:rPr>
                <w:rFonts w:hint="eastAsia" w:ascii="宋体" w:hAnsi="宋体" w:cs="宋体"/>
                <w:szCs w:val="21"/>
              </w:rPr>
              <w:t>83</w:t>
            </w:r>
          </w:p>
        </w:tc>
        <w:tc>
          <w:tcPr>
            <w:tcW w:w="8428"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cs="宋体"/>
                <w:szCs w:val="21"/>
              </w:rPr>
            </w:pPr>
            <w:r>
              <w:rPr>
                <w:rFonts w:hint="eastAsia" w:ascii="宋体" w:hAnsi="宋体" w:cs="宋体"/>
                <w:szCs w:val="21"/>
              </w:rPr>
              <w:t>1.注视精确度：0.24°。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jc w:val="center"/>
        </w:trPr>
        <w:tc>
          <w:tcPr>
            <w:tcW w:w="81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s="宋体"/>
                <w:szCs w:val="21"/>
              </w:rPr>
            </w:pPr>
            <w:r>
              <w:rPr>
                <w:rFonts w:hint="eastAsia" w:ascii="宋体" w:hAnsi="宋体" w:cs="宋体"/>
                <w:szCs w:val="21"/>
              </w:rPr>
              <w:t>84</w:t>
            </w:r>
          </w:p>
        </w:tc>
        <w:tc>
          <w:tcPr>
            <w:tcW w:w="8428"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cs="宋体"/>
                <w:szCs w:val="21"/>
              </w:rPr>
            </w:pPr>
            <w:r>
              <w:rPr>
                <w:rFonts w:hint="eastAsia" w:ascii="宋体" w:hAnsi="宋体" w:cs="宋体"/>
                <w:szCs w:val="21"/>
              </w:rPr>
              <w:t>2.注视准确度：0.4°。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jc w:val="center"/>
        </w:trPr>
        <w:tc>
          <w:tcPr>
            <w:tcW w:w="81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s="宋体"/>
                <w:szCs w:val="21"/>
              </w:rPr>
            </w:pPr>
            <w:r>
              <w:rPr>
                <w:rFonts w:hint="eastAsia" w:ascii="宋体" w:hAnsi="宋体" w:cs="宋体"/>
                <w:szCs w:val="21"/>
              </w:rPr>
              <w:t>85</w:t>
            </w:r>
          </w:p>
        </w:tc>
        <w:tc>
          <w:tcPr>
            <w:tcW w:w="8428"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cs="宋体"/>
                <w:szCs w:val="21"/>
              </w:rPr>
            </w:pPr>
            <w:r>
              <w:rPr>
                <w:rFonts w:hint="eastAsia" w:ascii="宋体" w:hAnsi="宋体" w:cs="宋体"/>
                <w:szCs w:val="21"/>
              </w:rPr>
              <w:t>3.采样率：120Hz。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jc w:val="center"/>
        </w:trPr>
        <w:tc>
          <w:tcPr>
            <w:tcW w:w="81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s="宋体"/>
                <w:szCs w:val="21"/>
              </w:rPr>
            </w:pPr>
            <w:r>
              <w:rPr>
                <w:rFonts w:hint="eastAsia" w:ascii="宋体" w:hAnsi="宋体" w:cs="宋体"/>
                <w:szCs w:val="21"/>
              </w:rPr>
              <w:t>86</w:t>
            </w:r>
          </w:p>
        </w:tc>
        <w:tc>
          <w:tcPr>
            <w:tcW w:w="8428"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cs="宋体"/>
                <w:szCs w:val="21"/>
              </w:rPr>
            </w:pPr>
            <w:r>
              <w:rPr>
                <w:rFonts w:hint="eastAsia" w:ascii="宋体" w:hAnsi="宋体" w:cs="宋体"/>
                <w:szCs w:val="21"/>
              </w:rPr>
              <w:t>4.整体系统延迟: &lt; 11 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jc w:val="center"/>
        </w:trPr>
        <w:tc>
          <w:tcPr>
            <w:tcW w:w="81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s="宋体"/>
                <w:szCs w:val="21"/>
              </w:rPr>
            </w:pPr>
            <w:r>
              <w:rPr>
                <w:rFonts w:hint="eastAsia" w:ascii="宋体" w:hAnsi="宋体" w:cs="宋体"/>
                <w:szCs w:val="21"/>
              </w:rPr>
              <w:t>87</w:t>
            </w:r>
          </w:p>
        </w:tc>
        <w:tc>
          <w:tcPr>
            <w:tcW w:w="8428"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cs="宋体"/>
                <w:szCs w:val="21"/>
              </w:rPr>
            </w:pPr>
            <w:r>
              <w:rPr>
                <w:rFonts w:hint="eastAsia" w:ascii="宋体" w:hAnsi="宋体" w:cs="宋体"/>
                <w:szCs w:val="21"/>
              </w:rPr>
              <w:t>5.头动范围：50 cm x 40 cm @ 80 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81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s="宋体"/>
                <w:szCs w:val="21"/>
              </w:rPr>
            </w:pPr>
            <w:r>
              <w:rPr>
                <w:rFonts w:hint="eastAsia" w:ascii="宋体" w:hAnsi="宋体" w:cs="宋体"/>
                <w:szCs w:val="21"/>
              </w:rPr>
              <w:t>88</w:t>
            </w:r>
          </w:p>
        </w:tc>
        <w:tc>
          <w:tcPr>
            <w:tcW w:w="8428"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cs="宋体"/>
                <w:szCs w:val="21"/>
              </w:rPr>
            </w:pPr>
            <w:r>
              <w:rPr>
                <w:rFonts w:hint="eastAsia" w:ascii="宋体" w:hAnsi="宋体" w:cs="宋体"/>
                <w:szCs w:val="21"/>
              </w:rPr>
              <w:t>6.追踪技术：双眼采集, 明瞳和暗瞳结合追踪，眼动追踪器的重量120g，具有较高的便携性。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jc w:val="center"/>
        </w:trPr>
        <w:tc>
          <w:tcPr>
            <w:tcW w:w="81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s="宋体"/>
                <w:szCs w:val="21"/>
              </w:rPr>
            </w:pPr>
            <w:r>
              <w:rPr>
                <w:rFonts w:hint="eastAsia" w:ascii="宋体" w:hAnsi="宋体" w:cs="宋体"/>
                <w:szCs w:val="21"/>
              </w:rPr>
              <w:t>89</w:t>
            </w:r>
          </w:p>
        </w:tc>
        <w:tc>
          <w:tcPr>
            <w:tcW w:w="8428"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cs="宋体"/>
                <w:szCs w:val="21"/>
              </w:rPr>
            </w:pPr>
            <w:r>
              <w:rPr>
                <w:rFonts w:hint="eastAsia" w:ascii="宋体" w:hAnsi="宋体" w:cs="宋体"/>
                <w:szCs w:val="21"/>
              </w:rPr>
              <w:t>7.数据传输方式：可以通过外部处理部件网线传输和USB 3.0接口传输。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jc w:val="center"/>
        </w:trPr>
        <w:tc>
          <w:tcPr>
            <w:tcW w:w="81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s="宋体"/>
                <w:szCs w:val="21"/>
              </w:rPr>
            </w:pPr>
            <w:r>
              <w:rPr>
                <w:rFonts w:hint="eastAsia" w:ascii="宋体" w:hAnsi="宋体" w:cs="宋体"/>
                <w:szCs w:val="21"/>
              </w:rPr>
              <w:t>90</w:t>
            </w:r>
          </w:p>
        </w:tc>
        <w:tc>
          <w:tcPr>
            <w:tcW w:w="8428"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cs="宋体"/>
                <w:szCs w:val="21"/>
              </w:rPr>
            </w:pPr>
            <w:r>
              <w:rPr>
                <w:rFonts w:hint="eastAsia" w:ascii="宋体" w:hAnsi="宋体" w:cs="宋体"/>
                <w:szCs w:val="21"/>
              </w:rPr>
              <w:t>8.可以快速跟踪到被试者的眼睛，而且不受光线环境、是否带眼镜和眼睛小等条件的影响。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jc w:val="center"/>
        </w:trPr>
        <w:tc>
          <w:tcPr>
            <w:tcW w:w="81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s="宋体"/>
                <w:szCs w:val="21"/>
              </w:rPr>
            </w:pPr>
            <w:r>
              <w:rPr>
                <w:rFonts w:hint="eastAsia" w:ascii="宋体" w:hAnsi="宋体" w:cs="宋体"/>
                <w:szCs w:val="21"/>
              </w:rPr>
              <w:t>91</w:t>
            </w:r>
          </w:p>
        </w:tc>
        <w:tc>
          <w:tcPr>
            <w:tcW w:w="8428"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cs="宋体"/>
                <w:szCs w:val="21"/>
              </w:rPr>
            </w:pPr>
            <w:r>
              <w:rPr>
                <w:rFonts w:hint="eastAsia" w:ascii="宋体" w:hAnsi="宋体" w:cs="宋体"/>
                <w:szCs w:val="21"/>
              </w:rPr>
              <w:t>9.刺激呈现设备：支持外接显示设备。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jc w:val="center"/>
        </w:trPr>
        <w:tc>
          <w:tcPr>
            <w:tcW w:w="81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s="宋体"/>
                <w:szCs w:val="21"/>
              </w:rPr>
            </w:pPr>
            <w:r>
              <w:rPr>
                <w:rFonts w:hint="eastAsia" w:ascii="宋体" w:hAnsi="宋体" w:cs="宋体"/>
                <w:szCs w:val="21"/>
              </w:rPr>
              <w:t>92</w:t>
            </w:r>
          </w:p>
        </w:tc>
        <w:tc>
          <w:tcPr>
            <w:tcW w:w="8428"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cs="宋体"/>
                <w:szCs w:val="21"/>
              </w:rPr>
            </w:pPr>
            <w:r>
              <w:rPr>
                <w:rFonts w:hint="eastAsia" w:ascii="宋体" w:hAnsi="宋体" w:cs="宋体"/>
                <w:szCs w:val="21"/>
              </w:rPr>
              <w:t>10.支持显示设备尺寸：25寸。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jc w:val="center"/>
        </w:trPr>
        <w:tc>
          <w:tcPr>
            <w:tcW w:w="81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s="宋体"/>
                <w:szCs w:val="21"/>
              </w:rPr>
            </w:pPr>
            <w:r>
              <w:rPr>
                <w:rFonts w:hint="eastAsia" w:ascii="宋体" w:hAnsi="宋体" w:cs="宋体"/>
                <w:szCs w:val="21"/>
              </w:rPr>
              <w:t>93</w:t>
            </w:r>
          </w:p>
        </w:tc>
        <w:tc>
          <w:tcPr>
            <w:tcW w:w="8428"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cs="宋体"/>
                <w:b/>
                <w:bCs/>
                <w:szCs w:val="21"/>
              </w:rPr>
            </w:pPr>
            <w:r>
              <w:rPr>
                <w:rFonts w:hint="eastAsia" w:ascii="宋体" w:hAnsi="宋体" w:cs="宋体"/>
                <w:b/>
                <w:bCs/>
                <w:szCs w:val="21"/>
              </w:rPr>
              <w:t>二、采集分析软件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81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s="宋体"/>
                <w:szCs w:val="21"/>
              </w:rPr>
            </w:pPr>
            <w:r>
              <w:rPr>
                <w:rFonts w:hint="eastAsia" w:ascii="宋体" w:hAnsi="宋体" w:cs="宋体"/>
                <w:szCs w:val="21"/>
              </w:rPr>
              <w:t>94</w:t>
            </w:r>
          </w:p>
        </w:tc>
        <w:tc>
          <w:tcPr>
            <w:tcW w:w="8428"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cs="宋体"/>
                <w:szCs w:val="21"/>
              </w:rPr>
            </w:pPr>
            <w:r>
              <w:rPr>
                <w:rFonts w:hint="eastAsia" w:ascii="宋体" w:hAnsi="宋体" w:cs="宋体"/>
                <w:szCs w:val="21"/>
              </w:rPr>
              <w:t>1.支持刺激材料类型：文本、图片、视频、网页、桌面记录、外部视频、PDF、多选问卷等。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81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s="宋体"/>
                <w:szCs w:val="21"/>
              </w:rPr>
            </w:pPr>
            <w:r>
              <w:rPr>
                <w:rFonts w:hint="eastAsia" w:ascii="宋体" w:hAnsi="宋体" w:cs="宋体"/>
                <w:szCs w:val="21"/>
              </w:rPr>
              <w:t>95</w:t>
            </w:r>
          </w:p>
        </w:tc>
        <w:tc>
          <w:tcPr>
            <w:tcW w:w="8428"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cs="宋体"/>
                <w:szCs w:val="21"/>
              </w:rPr>
            </w:pPr>
            <w:r>
              <w:rPr>
                <w:rFonts w:hint="eastAsia" w:ascii="宋体" w:hAnsi="宋体" w:cs="宋体"/>
                <w:szCs w:val="21"/>
              </w:rPr>
              <w:t>2.可呈现图片刺激；可记录注视点、动态回放和视频导出；划分兴趣区域、导出热点图、数据统计。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jc w:val="center"/>
        </w:trPr>
        <w:tc>
          <w:tcPr>
            <w:tcW w:w="81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s="宋体"/>
                <w:szCs w:val="21"/>
              </w:rPr>
            </w:pPr>
            <w:r>
              <w:rPr>
                <w:rFonts w:hint="eastAsia" w:ascii="宋体" w:hAnsi="宋体" w:cs="宋体"/>
                <w:szCs w:val="21"/>
              </w:rPr>
              <w:t>96</w:t>
            </w:r>
          </w:p>
        </w:tc>
        <w:tc>
          <w:tcPr>
            <w:tcW w:w="8428"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cs="宋体"/>
                <w:szCs w:val="21"/>
              </w:rPr>
            </w:pPr>
            <w:r>
              <w:rPr>
                <w:rFonts w:hint="eastAsia" w:ascii="宋体" w:hAnsi="宋体" w:cs="宋体"/>
                <w:szCs w:val="21"/>
              </w:rPr>
              <w:t>3.设有视频刺激、网页刺激、屏幕记录、鼠标键盘事件记录功能。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81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s="宋体"/>
                <w:szCs w:val="21"/>
              </w:rPr>
            </w:pPr>
            <w:r>
              <w:rPr>
                <w:rFonts w:hint="eastAsia" w:ascii="宋体" w:hAnsi="宋体" w:cs="宋体"/>
                <w:szCs w:val="21"/>
              </w:rPr>
              <w:t>97</w:t>
            </w:r>
          </w:p>
        </w:tc>
        <w:tc>
          <w:tcPr>
            <w:tcW w:w="8428"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cs="宋体"/>
                <w:szCs w:val="21"/>
              </w:rPr>
            </w:pPr>
            <w:r>
              <w:rPr>
                <w:rFonts w:hint="eastAsia" w:ascii="宋体" w:hAnsi="宋体" w:cs="宋体"/>
                <w:szCs w:val="21"/>
              </w:rPr>
              <w:t>4.软件可输出文本、蜂群图、注视轨迹图、动态注视轨迹图、Excel、热点图、动态热点图、柱状图、Cued-RTA视频等多种格式数据。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81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s="宋体"/>
                <w:szCs w:val="21"/>
              </w:rPr>
            </w:pPr>
            <w:r>
              <w:rPr>
                <w:rFonts w:hint="eastAsia" w:ascii="宋体" w:hAnsi="宋体" w:cs="宋体"/>
                <w:szCs w:val="21"/>
              </w:rPr>
              <w:t>98</w:t>
            </w:r>
          </w:p>
        </w:tc>
        <w:tc>
          <w:tcPr>
            <w:tcW w:w="8428"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cs="宋体"/>
                <w:szCs w:val="21"/>
              </w:rPr>
            </w:pPr>
            <w:r>
              <w:rPr>
                <w:rFonts w:hint="eastAsia" w:ascii="宋体" w:hAnsi="宋体" w:cs="宋体"/>
                <w:szCs w:val="21"/>
              </w:rPr>
              <w:t>5.基于IP的远程监控、自由划分兴趣区域、多个被试注视点同时回放等特殊功能，支持线索式回顾访谈，将主观数据与眼动数据结合，同一被试的定标文件保存后，下次实验无需重新定标。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jc w:val="center"/>
        </w:trPr>
        <w:tc>
          <w:tcPr>
            <w:tcW w:w="81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s="宋体"/>
                <w:szCs w:val="21"/>
              </w:rPr>
            </w:pPr>
            <w:r>
              <w:rPr>
                <w:rFonts w:hint="eastAsia" w:ascii="宋体" w:hAnsi="宋体" w:cs="宋体"/>
                <w:szCs w:val="21"/>
              </w:rPr>
              <w:t>99</w:t>
            </w:r>
          </w:p>
        </w:tc>
        <w:tc>
          <w:tcPr>
            <w:tcW w:w="8428"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cs="宋体"/>
                <w:szCs w:val="21"/>
              </w:rPr>
            </w:pPr>
            <w:r>
              <w:rPr>
                <w:rFonts w:hint="eastAsia" w:ascii="宋体" w:hAnsi="宋体" w:cs="宋体"/>
                <w:szCs w:val="21"/>
              </w:rPr>
              <w:t>6.支持跨组和跨刺激材料的数据统计分析。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jc w:val="center"/>
        </w:trPr>
        <w:tc>
          <w:tcPr>
            <w:tcW w:w="81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s="宋体"/>
                <w:szCs w:val="21"/>
              </w:rPr>
            </w:pPr>
            <w:r>
              <w:rPr>
                <w:rFonts w:hint="eastAsia" w:ascii="宋体" w:hAnsi="宋体" w:cs="宋体"/>
                <w:szCs w:val="21"/>
              </w:rPr>
              <w:t>100</w:t>
            </w:r>
          </w:p>
        </w:tc>
        <w:tc>
          <w:tcPr>
            <w:tcW w:w="8428"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cs="宋体"/>
                <w:szCs w:val="21"/>
              </w:rPr>
            </w:pPr>
            <w:r>
              <w:rPr>
                <w:rFonts w:hint="eastAsia" w:ascii="宋体" w:hAnsi="宋体" w:cs="宋体"/>
                <w:szCs w:val="21"/>
              </w:rPr>
              <w:t>7.支持动态兴趣区分析，即在动态场景中创建兴趣区。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jc w:val="center"/>
        </w:trPr>
        <w:tc>
          <w:tcPr>
            <w:tcW w:w="81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s="宋体"/>
                <w:szCs w:val="21"/>
              </w:rPr>
            </w:pPr>
            <w:r>
              <w:rPr>
                <w:rFonts w:hint="eastAsia" w:ascii="宋体" w:hAnsi="宋体" w:cs="宋体"/>
                <w:szCs w:val="21"/>
              </w:rPr>
              <w:t>101</w:t>
            </w:r>
          </w:p>
        </w:tc>
        <w:tc>
          <w:tcPr>
            <w:tcW w:w="8428"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cs="宋体"/>
                <w:szCs w:val="21"/>
              </w:rPr>
            </w:pPr>
            <w:r>
              <w:rPr>
                <w:rFonts w:hint="eastAsia" w:ascii="宋体" w:hAnsi="宋体" w:cs="宋体"/>
                <w:szCs w:val="21"/>
              </w:rPr>
              <w:t>8.可选2、5、9点定标模式，支持各点分别定标。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jc w:val="center"/>
        </w:trPr>
        <w:tc>
          <w:tcPr>
            <w:tcW w:w="81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s="宋体"/>
                <w:szCs w:val="21"/>
              </w:rPr>
            </w:pPr>
            <w:r>
              <w:rPr>
                <w:rFonts w:hint="eastAsia" w:ascii="宋体" w:hAnsi="宋体" w:cs="宋体"/>
                <w:szCs w:val="21"/>
              </w:rPr>
              <w:t>102</w:t>
            </w:r>
          </w:p>
        </w:tc>
        <w:tc>
          <w:tcPr>
            <w:tcW w:w="8428"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cs="宋体"/>
                <w:szCs w:val="21"/>
              </w:rPr>
            </w:pPr>
            <w:r>
              <w:rPr>
                <w:rFonts w:hint="eastAsia" w:ascii="宋体" w:hAnsi="宋体" w:cs="宋体"/>
                <w:szCs w:val="21"/>
              </w:rPr>
              <w:t>9.可同步记录被试的视频，声音，鼠标和键盘操作数据。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81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s="宋体"/>
                <w:szCs w:val="21"/>
              </w:rPr>
            </w:pPr>
            <w:r>
              <w:rPr>
                <w:rFonts w:hint="eastAsia" w:ascii="宋体" w:hAnsi="宋体" w:cs="宋体"/>
                <w:szCs w:val="21"/>
              </w:rPr>
              <w:t>103</w:t>
            </w:r>
          </w:p>
        </w:tc>
        <w:tc>
          <w:tcPr>
            <w:tcW w:w="8428"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cs="宋体"/>
                <w:szCs w:val="21"/>
              </w:rPr>
            </w:pPr>
            <w:r>
              <w:rPr>
                <w:rFonts w:hint="eastAsia" w:ascii="宋体" w:hAnsi="宋体" w:cs="宋体"/>
                <w:szCs w:val="21"/>
              </w:rPr>
              <w:t>10.可根据免费的SDK开发包，并有超过2000种应用插件下载，可以进行眼动控制上的应用，实现眼睛控制技术，适合人机交互研究，残疾人辅劣控制等技术。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jc w:val="center"/>
        </w:trPr>
        <w:tc>
          <w:tcPr>
            <w:tcW w:w="81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s="宋体"/>
                <w:szCs w:val="21"/>
              </w:rPr>
            </w:pPr>
            <w:r>
              <w:rPr>
                <w:rFonts w:hint="eastAsia" w:ascii="宋体" w:hAnsi="宋体" w:cs="宋体"/>
                <w:szCs w:val="21"/>
              </w:rPr>
              <w:t>104</w:t>
            </w:r>
          </w:p>
        </w:tc>
        <w:tc>
          <w:tcPr>
            <w:tcW w:w="8428"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cs="宋体"/>
                <w:szCs w:val="21"/>
              </w:rPr>
            </w:pPr>
            <w:r>
              <w:rPr>
                <w:rFonts w:hint="eastAsia" w:ascii="宋体" w:hAnsi="宋体" w:cs="宋体"/>
                <w:szCs w:val="21"/>
              </w:rPr>
              <w:t>11.操作简便，拖拽式实验设计。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81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s="宋体"/>
                <w:szCs w:val="21"/>
              </w:rPr>
            </w:pPr>
            <w:r>
              <w:rPr>
                <w:rFonts w:hint="eastAsia" w:ascii="宋体" w:hAnsi="宋体" w:cs="宋体"/>
                <w:szCs w:val="21"/>
              </w:rPr>
              <w:t>105</w:t>
            </w:r>
          </w:p>
        </w:tc>
        <w:tc>
          <w:tcPr>
            <w:tcW w:w="8428"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cs="宋体"/>
                <w:szCs w:val="21"/>
              </w:rPr>
            </w:pPr>
            <w:r>
              <w:rPr>
                <w:rFonts w:hint="eastAsia" w:ascii="宋体" w:hAnsi="宋体" w:cs="宋体"/>
                <w:szCs w:val="21"/>
              </w:rPr>
              <w:t>12.带有I-VT、ClearView等注视点过滤器，与E-Prime、Matdlab、Presentation、Mangoldlnteract等软件兼容。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jc w:val="center"/>
        </w:trPr>
        <w:tc>
          <w:tcPr>
            <w:tcW w:w="81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s="宋体"/>
                <w:szCs w:val="21"/>
              </w:rPr>
            </w:pPr>
            <w:r>
              <w:rPr>
                <w:rFonts w:hint="eastAsia" w:ascii="宋体" w:hAnsi="宋体" w:cs="宋体"/>
                <w:szCs w:val="21"/>
              </w:rPr>
              <w:t>106</w:t>
            </w:r>
          </w:p>
        </w:tc>
        <w:tc>
          <w:tcPr>
            <w:tcW w:w="8428"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cs="宋体"/>
                <w:b/>
                <w:bCs/>
                <w:szCs w:val="21"/>
              </w:rPr>
            </w:pPr>
            <w:r>
              <w:rPr>
                <w:rFonts w:hint="eastAsia" w:ascii="宋体" w:hAnsi="宋体" w:cs="宋体"/>
                <w:b/>
                <w:bCs/>
                <w:szCs w:val="21"/>
              </w:rPr>
              <w:t>三、配套眼动同步装置系统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jc w:val="center"/>
        </w:trPr>
        <w:tc>
          <w:tcPr>
            <w:tcW w:w="81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s="宋体"/>
                <w:szCs w:val="21"/>
              </w:rPr>
            </w:pPr>
            <w:r>
              <w:rPr>
                <w:rFonts w:hint="eastAsia" w:ascii="宋体" w:hAnsi="宋体" w:cs="宋体"/>
                <w:szCs w:val="21"/>
              </w:rPr>
              <w:t>107</w:t>
            </w:r>
          </w:p>
        </w:tc>
        <w:tc>
          <w:tcPr>
            <w:tcW w:w="8428"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cs="宋体"/>
                <w:szCs w:val="21"/>
              </w:rPr>
            </w:pPr>
            <w:r>
              <w:rPr>
                <w:rFonts w:hint="eastAsia" w:ascii="宋体" w:hAnsi="宋体" w:cs="宋体"/>
                <w:szCs w:val="21"/>
              </w:rPr>
              <w:t>1.轻松实现不同同步接口设备的硬件同步，极大地降低了同步信号的延迟。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81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s="宋体"/>
                <w:szCs w:val="21"/>
              </w:rPr>
            </w:pPr>
            <w:r>
              <w:rPr>
                <w:rFonts w:hint="eastAsia" w:ascii="宋体" w:hAnsi="宋体" w:cs="宋体"/>
                <w:szCs w:val="21"/>
              </w:rPr>
              <w:t>108</w:t>
            </w:r>
          </w:p>
        </w:tc>
        <w:tc>
          <w:tcPr>
            <w:tcW w:w="8428"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cs="宋体"/>
                <w:szCs w:val="21"/>
              </w:rPr>
            </w:pPr>
            <w:r>
              <w:rPr>
                <w:rFonts w:hint="eastAsia" w:ascii="宋体" w:hAnsi="宋体" w:cs="宋体"/>
                <w:szCs w:val="21"/>
              </w:rPr>
              <w:t>2.能够实现同步信号的分流，E-prime等刺激呈现软件可同时向不同系统（脑电、多导仪、近红外等）发送同步信号，实现系统同步，笔记本无需拓展坞，即可向外部设备（脑电、多导仪、近红外等）发送8 bit TTL同步信号，提高系统便携性。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81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s="宋体"/>
                <w:szCs w:val="21"/>
              </w:rPr>
            </w:pPr>
            <w:r>
              <w:rPr>
                <w:rFonts w:hint="eastAsia" w:ascii="宋体" w:hAnsi="宋体" w:cs="宋体"/>
                <w:szCs w:val="21"/>
              </w:rPr>
              <w:t>109</w:t>
            </w:r>
          </w:p>
        </w:tc>
        <w:tc>
          <w:tcPr>
            <w:tcW w:w="8428"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cs="宋体"/>
                <w:szCs w:val="21"/>
              </w:rPr>
            </w:pPr>
            <w:r>
              <w:rPr>
                <w:rFonts w:hint="eastAsia" w:ascii="宋体" w:hAnsi="宋体" w:cs="宋体"/>
                <w:szCs w:val="21"/>
              </w:rPr>
              <w:t>3.内置抗负载电路设计，确保同步信号的输出与系统识别，支持定制开发，可以根据客户需要定制同步接口（BNC、3.5mm音频口等）。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jc w:val="center"/>
        </w:trPr>
        <w:tc>
          <w:tcPr>
            <w:tcW w:w="81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s="宋体"/>
                <w:szCs w:val="21"/>
              </w:rPr>
            </w:pPr>
            <w:r>
              <w:rPr>
                <w:rFonts w:hint="eastAsia" w:ascii="宋体" w:hAnsi="宋体" w:cs="宋体"/>
                <w:szCs w:val="21"/>
              </w:rPr>
              <w:t>110</w:t>
            </w:r>
          </w:p>
        </w:tc>
        <w:tc>
          <w:tcPr>
            <w:tcW w:w="8428"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cs="宋体"/>
                <w:szCs w:val="21"/>
              </w:rPr>
            </w:pPr>
            <w:r>
              <w:rPr>
                <w:rFonts w:hint="eastAsia" w:ascii="宋体" w:hAnsi="宋体" w:cs="宋体"/>
                <w:szCs w:val="21"/>
              </w:rPr>
              <w:t>4.同步时间精度：16ms。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 w:hRule="atLeast"/>
          <w:jc w:val="center"/>
        </w:trPr>
        <w:tc>
          <w:tcPr>
            <w:tcW w:w="81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s="宋体"/>
                <w:szCs w:val="21"/>
              </w:rPr>
            </w:pPr>
            <w:r>
              <w:rPr>
                <w:rFonts w:hint="eastAsia" w:ascii="宋体" w:hAnsi="宋体" w:cs="宋体"/>
                <w:szCs w:val="21"/>
              </w:rPr>
              <w:t>111</w:t>
            </w:r>
          </w:p>
        </w:tc>
        <w:tc>
          <w:tcPr>
            <w:tcW w:w="8428"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cs="宋体"/>
                <w:szCs w:val="21"/>
              </w:rPr>
            </w:pPr>
            <w:r>
              <w:rPr>
                <w:rFonts w:hint="eastAsia" w:ascii="宋体" w:hAnsi="宋体" w:cs="宋体"/>
                <w:szCs w:val="21"/>
              </w:rPr>
              <w:t>5.接口类型：Micro USB、25针并口、DB 9 COM口。</w:t>
            </w:r>
          </w:p>
        </w:tc>
      </w:tr>
    </w:tbl>
    <w:p>
      <w:pPr>
        <w:pStyle w:val="2"/>
      </w:pPr>
    </w:p>
    <w:p>
      <w:bookmarkStart w:id="2" w:name="_GoBack"/>
      <w:bookmarkEnd w:id="2"/>
    </w:p>
    <w:p>
      <w:pPr>
        <w:rPr>
          <w:rFonts w:hint="eastAsia" w:ascii="宋体" w:hAnsi="宋体" w:cs="宋体"/>
          <w:b/>
          <w:bCs/>
          <w:sz w:val="28"/>
          <w:szCs w:val="28"/>
        </w:rPr>
      </w:pPr>
      <w:r>
        <w:drawing>
          <wp:inline distT="0" distB="0" distL="114300" distR="114300">
            <wp:extent cx="4415155" cy="6308725"/>
            <wp:effectExtent l="0" t="0" r="4445" b="15875"/>
            <wp:docPr id="11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7"/>
                    <pic:cNvPicPr>
                      <a:picLocks noChangeAspect="1"/>
                    </pic:cNvPicPr>
                  </pic:nvPicPr>
                  <pic:blipFill>
                    <a:blip r:embed="rId14"/>
                    <a:stretch>
                      <a:fillRect/>
                    </a:stretch>
                  </pic:blipFill>
                  <pic:spPr>
                    <a:xfrm>
                      <a:off x="0" y="0"/>
                      <a:ext cx="4415155" cy="6308725"/>
                    </a:xfrm>
                    <a:prstGeom prst="rect">
                      <a:avLst/>
                    </a:prstGeom>
                    <a:noFill/>
                    <a:ln>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6C502D6"/>
    <w:multiLevelType w:val="singleLevel"/>
    <w:tmpl w:val="96C502D6"/>
    <w:lvl w:ilvl="0" w:tentative="0">
      <w:start w:val="2"/>
      <w:numFmt w:val="chineseCounting"/>
      <w:suff w:val="nothing"/>
      <w:lvlText w:val="%1、"/>
      <w:lvlJc w:val="left"/>
      <w:rPr>
        <w:rFonts w:hint="eastAsia"/>
      </w:rPr>
    </w:lvl>
  </w:abstractNum>
  <w:abstractNum w:abstractNumId="1">
    <w:nsid w:val="752447F6"/>
    <w:multiLevelType w:val="multilevel"/>
    <w:tmpl w:val="752447F6"/>
    <w:lvl w:ilvl="0" w:tentative="0">
      <w:start w:val="1"/>
      <w:numFmt w:val="decimal"/>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5CD53B9"/>
    <w:rsid w:val="022D4AD4"/>
    <w:rsid w:val="05CD53B9"/>
    <w:rsid w:val="13122BEC"/>
    <w:rsid w:val="202A3F6D"/>
    <w:rsid w:val="21E3369D"/>
    <w:rsid w:val="2B891281"/>
    <w:rsid w:val="32C1191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2">
    <w:name w:val="Body Text"/>
    <w:basedOn w:val="1"/>
    <w:qFormat/>
    <w:uiPriority w:val="1"/>
    <w:pPr>
      <w:autoSpaceDE w:val="0"/>
      <w:autoSpaceDN w:val="0"/>
      <w:jc w:val="left"/>
    </w:pPr>
    <w:rPr>
      <w:rFonts w:ascii="Times New Roman" w:hAnsi="Times New Roman" w:eastAsia="Times New Roman"/>
      <w:kern w:val="0"/>
      <w:sz w:val="20"/>
      <w:szCs w:val="20"/>
      <w:lang w:eastAsia="en-US"/>
    </w:r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character" w:styleId="6">
    <w:name w:val="Hyperlink"/>
    <w:basedOn w:val="5"/>
    <w:uiPriority w:val="0"/>
    <w:rPr>
      <w:color w:val="0000FF"/>
      <w:u w:val="single"/>
    </w:rPr>
  </w:style>
  <w:style w:type="paragraph" w:customStyle="1" w:styleId="7">
    <w:name w:val="￥正文"/>
    <w:basedOn w:val="1"/>
    <w:qFormat/>
    <w:uiPriority w:val="0"/>
    <w:pPr>
      <w:spacing w:line="360" w:lineRule="auto"/>
    </w:pPr>
    <w:rPr>
      <w:rFonts w:ascii="Calibri" w:hAnsi="Calibri"/>
      <w:kern w:val="0"/>
      <w:sz w:val="24"/>
      <w:szCs w:val="20"/>
    </w:rPr>
  </w:style>
  <w:style w:type="paragraph" w:customStyle="1" w:styleId="8">
    <w:name w:val="表内文字"/>
    <w:basedOn w:val="1"/>
    <w:qFormat/>
    <w:uiPriority w:val="0"/>
    <w:pPr>
      <w:tabs>
        <w:tab w:val="left" w:pos="3060"/>
      </w:tabs>
      <w:snapToGrid w:val="0"/>
      <w:spacing w:before="50" w:beforeLines="0" w:after="50" w:afterLines="0"/>
      <w:ind w:left="178" w:leftChars="85"/>
      <w:jc w:val="center"/>
    </w:pPr>
    <w:rPr>
      <w:rFonts w:ascii="宋体" w:hAnsi="宋体"/>
      <w:bCs/>
      <w:szCs w:val="21"/>
    </w:rPr>
  </w:style>
</w:styles>
</file>

<file path=word/_rels/document.xml.rels><?xml version="1.0" encoding="UTF-8" standalone="yes"?>
<Relationships xmlns="http://schemas.openxmlformats.org/package/2006/relationships"><Relationship Id="rId9" Type="http://schemas.openxmlformats.org/officeDocument/2006/relationships/hyperlink" Target="http://www.psytech.com.cn/data/attachment/portal/201702/17/145848eqi3a4euiqr6x56s.png" TargetMode="External"/><Relationship Id="rId8" Type="http://schemas.openxmlformats.org/officeDocument/2006/relationships/image" Target="media/image3.jpeg"/><Relationship Id="rId7" Type="http://schemas.openxmlformats.org/officeDocument/2006/relationships/hyperlink" Target="http://www.psytech.com.cn/data/attachment/portal/201901/22/141930ua343t3jlbvb8q3a.jpg" TargetMode="External"/><Relationship Id="rId6" Type="http://schemas.openxmlformats.org/officeDocument/2006/relationships/image" Target="media/image2.jpeg"/><Relationship Id="rId5" Type="http://schemas.openxmlformats.org/officeDocument/2006/relationships/hyperlink" Target="http://www.psytech.com.cn/data/attachment/portal/201901/22/141805l0mhnnuypbj0gsoc.jpg" TargetMode="External"/><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hyperlink" Target="http://www.psytech.com.cn/data/attachment/portal/201702/17/145849zhkia1bt1a16ijka.png" TargetMode="External"/><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Office_11.1.0.9584_F1E327BC-269C-435d-A152-05C5408002CA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2020-03-26T01:15:00Z</dcterms:created>
  <dc:creator>WPS_1467035318</dc:creator>
  <cp:lastModifiedBy>WPS_1467035318</cp:lastModifiedBy>
  <dcterms:modified xsi:type="dcterms:W3CDTF">2020-03-26T02:53:46Z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